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DBC1" w14:textId="77777777" w:rsidR="00E021A5" w:rsidRDefault="00E021A5" w:rsidP="00E021A5">
      <w:pPr>
        <w:pStyle w:val="StyleHeading2JustifiedBefore6ptAfter6pt1"/>
        <w:numPr>
          <w:ilvl w:val="0"/>
          <w:numId w:val="0"/>
        </w:numPr>
      </w:pPr>
      <w:bookmarkStart w:id="0" w:name="_Hlk126315960"/>
      <w:bookmarkEnd w:id="0"/>
      <w:r>
        <w:t>Vendor Information</w:t>
      </w:r>
      <w:r w:rsidR="00760CDE"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3816"/>
      </w:tblGrid>
      <w:tr w:rsidR="00803281" w14:paraId="31A104E7" w14:textId="77777777">
        <w:tc>
          <w:tcPr>
            <w:tcW w:w="6629" w:type="dxa"/>
          </w:tcPr>
          <w:p w14:paraId="478A2AD8" w14:textId="3BEB895C" w:rsidR="00E021A5" w:rsidRPr="00556DBB" w:rsidRDefault="00E107C0">
            <w:pPr>
              <w:pStyle w:val="BodyText"/>
              <w:jc w:val="both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Insight </w:t>
            </w:r>
            <w:proofErr w:type="spellStart"/>
            <w:r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Optix</w:t>
            </w:r>
            <w:proofErr w:type="spellEnd"/>
          </w:p>
        </w:tc>
        <w:tc>
          <w:tcPr>
            <w:tcW w:w="1893" w:type="dxa"/>
            <w:vMerge w:val="restart"/>
            <w:vAlign w:val="center"/>
          </w:tcPr>
          <w:p w14:paraId="1A9A6F00" w14:textId="15D629F8" w:rsidR="00E021A5" w:rsidRPr="00CB1B84" w:rsidRDefault="00C26348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414CC3C" wp14:editId="306F00FC">
                  <wp:extent cx="2279265" cy="619910"/>
                  <wp:effectExtent l="0" t="0" r="698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009" cy="63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281" w14:paraId="64AD17B9" w14:textId="77777777">
        <w:tc>
          <w:tcPr>
            <w:tcW w:w="6629" w:type="dxa"/>
          </w:tcPr>
          <w:p w14:paraId="2A93C486" w14:textId="278206D4" w:rsidR="00803281" w:rsidRPr="00556DBB" w:rsidRDefault="00E107C0" w:rsidP="00803281">
            <w:pPr>
              <w:pStyle w:val="BodyText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Mandi Ross</w:t>
            </w:r>
            <w:r w:rsidR="00803281"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, CEO </w:t>
            </w:r>
          </w:p>
          <w:p w14:paraId="6D92C0F0" w14:textId="4CEFE793" w:rsidR="00E107C0" w:rsidRPr="00556DBB" w:rsidRDefault="00C26348" w:rsidP="00803281">
            <w:pPr>
              <w:pStyle w:val="BodyText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(615) 442-3450</w:t>
            </w:r>
            <w:r w:rsidR="00E107C0"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 (or 866.804.6876)</w:t>
            </w:r>
            <w:r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, </w:t>
            </w:r>
            <w:hyperlink r:id="rId13" w:history="1">
              <w:r w:rsidRPr="00556DBB">
                <w:rPr>
                  <w:rStyle w:val="Hyperlink"/>
                  <w:rFonts w:asciiTheme="minorHAnsi" w:hAnsiTheme="minorHAnsi" w:cstheme="minorHAnsi"/>
                  <w:color w:val="262626" w:themeColor="text1" w:themeTint="D9"/>
                  <w:sz w:val="22"/>
                  <w:szCs w:val="22"/>
                </w:rPr>
                <w:t>info@insightoptix.com</w:t>
              </w:r>
            </w:hyperlink>
            <w:r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 </w:t>
            </w:r>
          </w:p>
          <w:p w14:paraId="0945EAB6" w14:textId="702243DF" w:rsidR="00E107C0" w:rsidRPr="00556DBB" w:rsidRDefault="00E107C0">
            <w:pPr>
              <w:pStyle w:val="BodyText"/>
              <w:jc w:val="both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93" w:type="dxa"/>
            <w:vMerge/>
          </w:tcPr>
          <w:p w14:paraId="5A4A04F5" w14:textId="77777777" w:rsidR="00E021A5" w:rsidRPr="00CB1B84" w:rsidRDefault="00E021A5">
            <w:pPr>
              <w:pStyle w:val="BodyTex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03281" w14:paraId="567E06EA" w14:textId="77777777">
        <w:tc>
          <w:tcPr>
            <w:tcW w:w="6629" w:type="dxa"/>
          </w:tcPr>
          <w:p w14:paraId="5F74038D" w14:textId="051D5D23" w:rsidR="00E021A5" w:rsidRPr="00556DBB" w:rsidRDefault="00C26348">
            <w:pPr>
              <w:pStyle w:val="BodyText"/>
              <w:jc w:val="both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315 </w:t>
            </w:r>
            <w:proofErr w:type="spellStart"/>
            <w:r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Deaderick</w:t>
            </w:r>
            <w:proofErr w:type="spellEnd"/>
            <w:r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 St., Suite 1550, Nashville, TN 37238</w:t>
            </w:r>
          </w:p>
        </w:tc>
        <w:tc>
          <w:tcPr>
            <w:tcW w:w="1893" w:type="dxa"/>
            <w:vMerge/>
          </w:tcPr>
          <w:p w14:paraId="00B90EEB" w14:textId="77777777" w:rsidR="00E021A5" w:rsidRPr="00CB1B84" w:rsidRDefault="00E021A5">
            <w:pPr>
              <w:pStyle w:val="BodyTex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03281" w14:paraId="6304F479" w14:textId="77777777">
        <w:tc>
          <w:tcPr>
            <w:tcW w:w="6629" w:type="dxa"/>
          </w:tcPr>
          <w:p w14:paraId="3BDC2C08" w14:textId="267901A2" w:rsidR="00E021A5" w:rsidRPr="00556DBB" w:rsidRDefault="00000000">
            <w:pPr>
              <w:pStyle w:val="BodyText"/>
              <w:jc w:val="both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hyperlink r:id="rId14" w:history="1">
              <w:r w:rsidR="00831E1B" w:rsidRPr="006733F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www.insightoptix.com</w:t>
              </w:r>
            </w:hyperlink>
            <w:r w:rsidR="00831E1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  <w:tc>
          <w:tcPr>
            <w:tcW w:w="1893" w:type="dxa"/>
            <w:vMerge/>
          </w:tcPr>
          <w:p w14:paraId="0891F8DD" w14:textId="77777777" w:rsidR="00E021A5" w:rsidRPr="00CB1B84" w:rsidRDefault="00E021A5">
            <w:pPr>
              <w:pStyle w:val="BodyTex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021A5" w14:paraId="42BB58BF" w14:textId="77777777">
        <w:tc>
          <w:tcPr>
            <w:tcW w:w="8522" w:type="dxa"/>
            <w:gridSpan w:val="2"/>
          </w:tcPr>
          <w:p w14:paraId="433E0C36" w14:textId="62A64D1C" w:rsidR="000E505F" w:rsidRPr="00556DBB" w:rsidRDefault="000E505F" w:rsidP="000E505F">
            <w:pPr>
              <w:jc w:val="both"/>
              <w:rPr>
                <w:rFonts w:asciiTheme="minorHAnsi" w:eastAsia="Arial" w:hAnsiTheme="minorHAnsi" w:cstheme="minorHAnsi"/>
                <w:color w:val="262626" w:themeColor="text1" w:themeTint="D9"/>
                <w:sz w:val="22"/>
                <w:szCs w:val="22"/>
                <w:u w:val="single"/>
              </w:rPr>
            </w:pPr>
            <w:r w:rsidRPr="00556DBB">
              <w:rPr>
                <w:rFonts w:asciiTheme="minorHAnsi" w:eastAsia="Arial" w:hAnsiTheme="minorHAnsi" w:cstheme="minorHAnsi"/>
                <w:color w:val="262626" w:themeColor="text1" w:themeTint="D9"/>
                <w:sz w:val="22"/>
                <w:szCs w:val="22"/>
                <w:u w:val="single"/>
              </w:rPr>
              <w:t>Company Description</w:t>
            </w:r>
          </w:p>
          <w:p w14:paraId="0A9B5523" w14:textId="77777777" w:rsidR="000E505F" w:rsidRPr="00556DBB" w:rsidRDefault="000E505F" w:rsidP="000E505F">
            <w:pPr>
              <w:jc w:val="both"/>
              <w:rPr>
                <w:rFonts w:asciiTheme="minorHAnsi" w:eastAsia="Arial" w:hAnsiTheme="minorHAnsi" w:cstheme="minorHAnsi"/>
                <w:color w:val="262626" w:themeColor="text1" w:themeTint="D9"/>
                <w:sz w:val="22"/>
                <w:szCs w:val="22"/>
              </w:rPr>
            </w:pPr>
          </w:p>
          <w:p w14:paraId="7D797DE0" w14:textId="06D435D4" w:rsidR="00B70659" w:rsidRDefault="000E505F" w:rsidP="000E505F">
            <w:pPr>
              <w:jc w:val="both"/>
              <w:rPr>
                <w:rFonts w:asciiTheme="minorHAnsi" w:eastAsia="Arial" w:hAnsiTheme="minorHAnsi" w:cstheme="minorHAnsi"/>
                <w:color w:val="262626" w:themeColor="text1" w:themeTint="D9"/>
                <w:sz w:val="22"/>
                <w:szCs w:val="22"/>
              </w:rPr>
            </w:pPr>
            <w:r w:rsidRPr="00556DBB">
              <w:rPr>
                <w:rFonts w:asciiTheme="minorHAnsi" w:eastAsia="Arial" w:hAnsiTheme="minorHAnsi" w:cstheme="minorHAnsi"/>
                <w:color w:val="262626" w:themeColor="text1" w:themeTint="D9"/>
                <w:sz w:val="22"/>
                <w:szCs w:val="22"/>
              </w:rPr>
              <w:t xml:space="preserve">Insight </w:t>
            </w:r>
            <w:proofErr w:type="spellStart"/>
            <w:r w:rsidRPr="00556DBB">
              <w:rPr>
                <w:rFonts w:asciiTheme="minorHAnsi" w:eastAsia="Arial" w:hAnsiTheme="minorHAnsi" w:cstheme="minorHAnsi"/>
                <w:color w:val="262626" w:themeColor="text1" w:themeTint="D9"/>
                <w:sz w:val="22"/>
                <w:szCs w:val="22"/>
              </w:rPr>
              <w:t>Optix</w:t>
            </w:r>
            <w:proofErr w:type="spellEnd"/>
            <w:r w:rsidRPr="00556DBB">
              <w:rPr>
                <w:rFonts w:asciiTheme="minorHAnsi" w:eastAsia="Arial" w:hAnsiTheme="minorHAnsi" w:cstheme="minorHAnsi"/>
                <w:color w:val="262626" w:themeColor="text1" w:themeTint="D9"/>
                <w:sz w:val="22"/>
                <w:szCs w:val="22"/>
              </w:rPr>
              <w:t xml:space="preserve"> is a legal technology company with the first and only </w:t>
            </w:r>
            <w:r w:rsidR="001F0824">
              <w:rPr>
                <w:rFonts w:asciiTheme="minorHAnsi" w:eastAsia="Arial" w:hAnsiTheme="minorHAnsi" w:cstheme="minorHAnsi"/>
                <w:color w:val="262626" w:themeColor="text1" w:themeTint="D9"/>
                <w:sz w:val="22"/>
                <w:szCs w:val="22"/>
              </w:rPr>
              <w:t xml:space="preserve">SaaS-based </w:t>
            </w:r>
            <w:r w:rsidRPr="00556DBB">
              <w:rPr>
                <w:rFonts w:asciiTheme="minorHAnsi" w:eastAsia="Arial" w:hAnsiTheme="minorHAnsi" w:cstheme="minorHAnsi"/>
                <w:color w:val="262626" w:themeColor="text1" w:themeTint="D9"/>
                <w:sz w:val="22"/>
                <w:szCs w:val="22"/>
              </w:rPr>
              <w:t xml:space="preserve">solution in the market that addresses the longstanding problem of excessive and overzealous discovery. </w:t>
            </w:r>
            <w:r w:rsidR="00242036">
              <w:rPr>
                <w:rFonts w:asciiTheme="minorHAnsi" w:eastAsia="Arial" w:hAnsiTheme="minorHAnsi" w:cstheme="minorHAnsi"/>
                <w:color w:val="262626" w:themeColor="text1" w:themeTint="D9"/>
                <w:sz w:val="22"/>
                <w:szCs w:val="22"/>
              </w:rPr>
              <w:t xml:space="preserve">Its industry-leading </w:t>
            </w:r>
            <w:r w:rsidR="00242036" w:rsidRPr="00CC356C">
              <w:rPr>
                <w:rFonts w:asciiTheme="minorHAnsi" w:eastAsia="Arial" w:hAnsiTheme="minorHAnsi" w:cstheme="minorHAnsi"/>
                <w:color w:val="262626" w:themeColor="text1" w:themeTint="D9"/>
                <w:sz w:val="22"/>
                <w:szCs w:val="22"/>
              </w:rPr>
              <w:t>technology</w:t>
            </w:r>
            <w:r w:rsidR="00242036">
              <w:rPr>
                <w:rFonts w:asciiTheme="minorHAnsi" w:eastAsia="Arial" w:hAnsiTheme="minorHAnsi" w:cstheme="minorHAnsi"/>
                <w:color w:val="262626" w:themeColor="text1" w:themeTint="D9"/>
                <w:sz w:val="22"/>
                <w:szCs w:val="22"/>
              </w:rPr>
              <w:t xml:space="preserve"> and </w:t>
            </w:r>
            <w:r w:rsidR="00242036" w:rsidRPr="00CC356C">
              <w:rPr>
                <w:rFonts w:asciiTheme="minorHAnsi" w:eastAsia="Arial" w:hAnsiTheme="minorHAnsi" w:cstheme="minorHAnsi"/>
                <w:color w:val="262626" w:themeColor="text1" w:themeTint="D9"/>
                <w:sz w:val="22"/>
                <w:szCs w:val="22"/>
              </w:rPr>
              <w:t>patented workflow,</w:t>
            </w:r>
            <w:r w:rsidR="00242036">
              <w:rPr>
                <w:rFonts w:asciiTheme="minorHAnsi" w:eastAsia="Arial" w:hAnsiTheme="minorHAnsi" w:cstheme="minorHAnsi"/>
                <w:color w:val="262626" w:themeColor="text1" w:themeTint="D9"/>
                <w:sz w:val="22"/>
                <w:szCs w:val="22"/>
              </w:rPr>
              <w:t xml:space="preserve"> </w:t>
            </w:r>
            <w:r w:rsidRPr="00556DBB">
              <w:rPr>
                <w:rFonts w:asciiTheme="minorHAnsi" w:eastAsia="Arial" w:hAnsiTheme="minorHAnsi" w:cstheme="minorHAnsi"/>
                <w:color w:val="262626" w:themeColor="text1" w:themeTint="D9"/>
                <w:sz w:val="22"/>
                <w:szCs w:val="22"/>
              </w:rPr>
              <w:t xml:space="preserve">Evidence </w:t>
            </w:r>
            <w:proofErr w:type="spellStart"/>
            <w:r w:rsidRPr="00556DBB">
              <w:rPr>
                <w:rFonts w:asciiTheme="minorHAnsi" w:eastAsia="Arial" w:hAnsiTheme="minorHAnsi" w:cstheme="minorHAnsi"/>
                <w:color w:val="262626" w:themeColor="text1" w:themeTint="D9"/>
                <w:sz w:val="22"/>
                <w:szCs w:val="22"/>
              </w:rPr>
              <w:t>Optix</w:t>
            </w:r>
            <w:proofErr w:type="spellEnd"/>
            <w:r w:rsidR="00242036" w:rsidRPr="00C32949">
              <w:rPr>
                <w:rFonts w:asciiTheme="minorHAnsi" w:eastAsia="Arial" w:hAnsiTheme="minorHAnsi" w:cstheme="minorHAnsi"/>
                <w:color w:val="262626" w:themeColor="text1" w:themeTint="D9"/>
                <w:sz w:val="22"/>
                <w:szCs w:val="22"/>
                <w:vertAlign w:val="superscript"/>
              </w:rPr>
              <w:t>®</w:t>
            </w:r>
            <w:r w:rsidR="00C32949">
              <w:rPr>
                <w:rFonts w:asciiTheme="minorHAnsi" w:eastAsia="Arial" w:hAnsiTheme="minorHAnsi" w:cstheme="minorHAnsi"/>
                <w:color w:val="262626" w:themeColor="text1" w:themeTint="D9"/>
                <w:sz w:val="22"/>
                <w:szCs w:val="22"/>
              </w:rPr>
              <w:t>,</w:t>
            </w:r>
            <w:r w:rsidRPr="00556DBB">
              <w:rPr>
                <w:rFonts w:asciiTheme="minorHAnsi" w:eastAsia="Arial" w:hAnsiTheme="minorHAnsi" w:cstheme="minorHAnsi"/>
                <w:color w:val="262626" w:themeColor="text1" w:themeTint="D9"/>
                <w:sz w:val="22"/>
                <w:szCs w:val="22"/>
              </w:rPr>
              <w:t xml:space="preserve"> empowers early discovery scoping, budget projections, proportionality analysis, and data source tracking throughout the litigation lifecycle. </w:t>
            </w:r>
          </w:p>
          <w:p w14:paraId="5BCD0245" w14:textId="77777777" w:rsidR="00B70659" w:rsidRDefault="00B70659" w:rsidP="000E505F">
            <w:pPr>
              <w:jc w:val="both"/>
              <w:rPr>
                <w:rFonts w:asciiTheme="minorHAnsi" w:eastAsia="Arial" w:hAnsiTheme="minorHAnsi" w:cstheme="minorHAnsi"/>
                <w:color w:val="262626" w:themeColor="text1" w:themeTint="D9"/>
                <w:sz w:val="22"/>
                <w:szCs w:val="22"/>
              </w:rPr>
            </w:pPr>
          </w:p>
          <w:p w14:paraId="58391B35" w14:textId="38DEF0EA" w:rsidR="000E505F" w:rsidRPr="00556DBB" w:rsidRDefault="000E505F" w:rsidP="000E505F">
            <w:pPr>
              <w:jc w:val="both"/>
              <w:rPr>
                <w:rFonts w:asciiTheme="minorHAnsi" w:eastAsia="Arial" w:hAnsiTheme="minorHAnsi" w:cstheme="minorHAnsi"/>
                <w:color w:val="262626" w:themeColor="text1" w:themeTint="D9"/>
                <w:sz w:val="22"/>
                <w:szCs w:val="22"/>
              </w:rPr>
            </w:pPr>
            <w:r w:rsidRPr="00556DBB">
              <w:rPr>
                <w:rFonts w:asciiTheme="minorHAnsi" w:eastAsia="Arial" w:hAnsiTheme="minorHAnsi" w:cstheme="minorHAnsi"/>
                <w:color w:val="262626" w:themeColor="text1" w:themeTint="D9"/>
                <w:sz w:val="22"/>
                <w:szCs w:val="22"/>
              </w:rPr>
              <w:t xml:space="preserve">Insight </w:t>
            </w:r>
            <w:proofErr w:type="spellStart"/>
            <w:r w:rsidRPr="00556DBB">
              <w:rPr>
                <w:rFonts w:asciiTheme="minorHAnsi" w:eastAsia="Arial" w:hAnsiTheme="minorHAnsi" w:cstheme="minorHAnsi"/>
                <w:color w:val="262626" w:themeColor="text1" w:themeTint="D9"/>
                <w:sz w:val="22"/>
                <w:szCs w:val="22"/>
              </w:rPr>
              <w:t>Optix</w:t>
            </w:r>
            <w:proofErr w:type="spellEnd"/>
            <w:r w:rsidRPr="00556DBB">
              <w:rPr>
                <w:rFonts w:asciiTheme="minorHAnsi" w:eastAsia="Arial" w:hAnsiTheme="minorHAnsi" w:cstheme="minorHAnsi"/>
                <w:color w:val="262626" w:themeColor="text1" w:themeTint="D9"/>
                <w:sz w:val="22"/>
                <w:szCs w:val="22"/>
              </w:rPr>
              <w:t xml:space="preserve"> is proud to be a WBENC-certified company that employs experts with decades of industry experience.</w:t>
            </w:r>
          </w:p>
          <w:p w14:paraId="570DAD39" w14:textId="77777777" w:rsidR="00E021A5" w:rsidRPr="00556DBB" w:rsidRDefault="00E021A5" w:rsidP="000E505F">
            <w:pPr>
              <w:pStyle w:val="BodyText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</w:tc>
      </w:tr>
      <w:tr w:rsidR="00E021A5" w14:paraId="30127E86" w14:textId="77777777">
        <w:tc>
          <w:tcPr>
            <w:tcW w:w="8522" w:type="dxa"/>
            <w:gridSpan w:val="2"/>
          </w:tcPr>
          <w:p w14:paraId="28486696" w14:textId="77777777" w:rsidR="00E021A5" w:rsidRPr="00556DBB" w:rsidRDefault="00E021A5">
            <w:pPr>
              <w:pStyle w:val="BodyText"/>
              <w:jc w:val="both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u w:val="single"/>
              </w:rPr>
            </w:pPr>
            <w:r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u w:val="single"/>
              </w:rPr>
              <w:t>Vendor Offerings</w:t>
            </w:r>
          </w:p>
          <w:p w14:paraId="14153145" w14:textId="006C3113" w:rsidR="00873927" w:rsidRPr="00556DBB" w:rsidRDefault="00FB136B" w:rsidP="00FB136B">
            <w:pPr>
              <w:spacing w:after="160" w:line="259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</w:pPr>
            <w:r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>Standard eDiscovery solutions focus on efficiencies post-collection, rather than the earlier stages of litigation</w:t>
            </w:r>
            <w:r w:rsidR="00873927"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 where decisions significantly impact the cost and burden downstream</w:t>
            </w:r>
            <w:r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. </w:t>
            </w:r>
            <w:r w:rsidR="00F96686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>E</w:t>
            </w:r>
            <w:r w:rsidR="003D149A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vidence </w:t>
            </w:r>
            <w:proofErr w:type="spellStart"/>
            <w:r w:rsidR="003D149A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>Optix</w:t>
            </w:r>
            <w:proofErr w:type="spellEnd"/>
            <w:r w:rsidR="00F96686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 </w:t>
            </w:r>
            <w:r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changes this paradigm. </w:t>
            </w:r>
            <w:r w:rsidR="00FE3D68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>As t</w:t>
            </w:r>
            <w:r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>he only solution that begins in the identification stage of the EDRM, E</w:t>
            </w:r>
            <w:r w:rsidR="003D149A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vidence </w:t>
            </w:r>
            <w:proofErr w:type="spellStart"/>
            <w:r w:rsidR="003D149A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>Optix</w:t>
            </w:r>
            <w:proofErr w:type="spellEnd"/>
            <w:r w:rsidR="003E4426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 provides a</w:t>
            </w:r>
            <w:r w:rsidR="00873927"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 </w:t>
            </w:r>
            <w:r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>consistent</w:t>
            </w:r>
            <w:r w:rsidR="00844A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 and</w:t>
            </w:r>
            <w:r w:rsidR="003E4426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 </w:t>
            </w:r>
            <w:r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organized </w:t>
            </w:r>
            <w:r w:rsidR="00C84D44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workflow </w:t>
            </w:r>
            <w:r w:rsidR="003E4426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for custodian and data </w:t>
            </w:r>
            <w:r w:rsidR="00844A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evaluation </w:t>
            </w:r>
            <w:r w:rsidR="00EA6B38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that </w:t>
            </w:r>
            <w:r w:rsidR="00EA6B38" w:rsidRPr="00D15D22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>builds</w:t>
            </w:r>
            <w:r w:rsidR="009C1E1A" w:rsidRPr="00D15D22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 metrics</w:t>
            </w:r>
            <w:r w:rsidR="00EA6B38" w:rsidRPr="00D15D22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 </w:t>
            </w:r>
            <w:r w:rsidR="003618F4" w:rsidRPr="00D15D22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to </w:t>
            </w:r>
            <w:r w:rsidR="004126E3" w:rsidRPr="00D15D22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assist </w:t>
            </w:r>
            <w:r w:rsidR="000E47F4" w:rsidRPr="00D15D22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in </w:t>
            </w:r>
            <w:r w:rsidR="003E4426" w:rsidRPr="00D15D22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>proportionality a</w:t>
            </w:r>
            <w:r w:rsidR="007B5511" w:rsidRPr="00D15D22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>nalysis</w:t>
            </w:r>
            <w:r w:rsidR="007B5511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 from the </w:t>
            </w:r>
            <w:r w:rsidR="001017CF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earliest stages </w:t>
            </w:r>
            <w:r w:rsidR="007B5511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of the matter. </w:t>
            </w:r>
            <w:r w:rsidR="003E4426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 </w:t>
            </w:r>
            <w:r w:rsidR="00873927"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B0FBEB7" w14:textId="4480460C" w:rsidR="00873927" w:rsidRPr="00556DBB" w:rsidRDefault="00873927" w:rsidP="00FB136B">
            <w:pPr>
              <w:spacing w:after="160" w:line="259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</w:pPr>
            <w:r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Evidence </w:t>
            </w:r>
            <w:proofErr w:type="spellStart"/>
            <w:r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>Optix</w:t>
            </w:r>
            <w:proofErr w:type="spellEnd"/>
            <w:r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 enables greater control, collaboration, and management of your entire litigation portfolio</w:t>
            </w:r>
            <w:r w:rsidR="006F14C2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>,</w:t>
            </w:r>
            <w:r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 while providing l</w:t>
            </w:r>
            <w:r w:rsidR="00DE287D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>egal teams</w:t>
            </w:r>
            <w:r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 with the granular data necessary to articulate the burden and relevancy of discovery requests. </w:t>
            </w:r>
            <w:r w:rsidR="00556DBB"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>This approach provides earlier insights for case strategy and settle or proceed decisions</w:t>
            </w:r>
            <w:r w:rsidR="006F14C2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>,</w:t>
            </w:r>
            <w:r w:rsidR="00556DBB"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 and typically reduces </w:t>
            </w:r>
            <w:r w:rsidR="001E6B68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discovery </w:t>
            </w:r>
            <w:r w:rsidR="00556DBB"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spend by 25-50%. </w:t>
            </w:r>
            <w:r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Centralized </w:t>
            </w:r>
            <w:r w:rsidR="00364FEC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>collabora</w:t>
            </w:r>
            <w:r w:rsidR="00AC2254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>tion</w:t>
            </w:r>
            <w:r w:rsidR="008D2FA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 with internal and external stakeholders </w:t>
            </w:r>
            <w:r w:rsidR="00CA0C31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facilitates </w:t>
            </w:r>
            <w:r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documentation of decisioning </w:t>
            </w:r>
            <w:r w:rsidRPr="0006412D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>and</w:t>
            </w:r>
            <w:r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 </w:t>
            </w:r>
            <w:r w:rsidR="00556DBB"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helps prevent inconsistencies, errors, data loss, and sanctions. </w:t>
            </w:r>
          </w:p>
          <w:p w14:paraId="6E864503" w14:textId="1198EAF4" w:rsidR="00FB136B" w:rsidRPr="00556DBB" w:rsidRDefault="00FB136B" w:rsidP="00FB136B">
            <w:pPr>
              <w:spacing w:after="160" w:line="259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</w:tc>
      </w:tr>
      <w:tr w:rsidR="00E021A5" w14:paraId="2A4E1D3C" w14:textId="77777777">
        <w:tc>
          <w:tcPr>
            <w:tcW w:w="8522" w:type="dxa"/>
            <w:gridSpan w:val="2"/>
          </w:tcPr>
          <w:p w14:paraId="508CAD06" w14:textId="0D0B8132" w:rsidR="00E021A5" w:rsidRPr="00556DBB" w:rsidRDefault="00E021A5">
            <w:pPr>
              <w:pStyle w:val="BodyText"/>
              <w:jc w:val="both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u w:val="single"/>
              </w:rPr>
              <w:t>Sign off from organi</w:t>
            </w:r>
            <w:r w:rsidR="004E5622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u w:val="single"/>
              </w:rPr>
              <w:t>s</w:t>
            </w:r>
            <w:r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u w:val="single"/>
              </w:rPr>
              <w:t>ation</w:t>
            </w:r>
            <w:r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 </w:t>
            </w:r>
          </w:p>
          <w:p w14:paraId="3FD6B0EC" w14:textId="23B4E864" w:rsidR="00E021A5" w:rsidRPr="00556DBB" w:rsidRDefault="000E505F">
            <w:pPr>
              <w:pStyle w:val="BodyText"/>
              <w:jc w:val="both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556DB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Mandi Ross, CEO </w:t>
            </w:r>
          </w:p>
        </w:tc>
      </w:tr>
    </w:tbl>
    <w:p w14:paraId="11C455ED" w14:textId="77777777" w:rsidR="00E021A5" w:rsidRDefault="00E021A5" w:rsidP="00E021A5">
      <w:pPr>
        <w:pStyle w:val="BodyText"/>
      </w:pPr>
    </w:p>
    <w:p w14:paraId="1B0D1D39" w14:textId="77777777" w:rsidR="00AC1FAF" w:rsidRDefault="00AC1FAF">
      <w:pPr>
        <w:rPr>
          <w:rFonts w:ascii="Arial Bold" w:eastAsia="Times New Roman" w:hAnsi="Arial Bold"/>
          <w:b/>
          <w:kern w:val="32"/>
          <w:sz w:val="22"/>
          <w:szCs w:val="20"/>
        </w:rPr>
      </w:pPr>
      <w:r>
        <w:br w:type="page"/>
      </w:r>
    </w:p>
    <w:p w14:paraId="34211162" w14:textId="31837430" w:rsidR="00E021A5" w:rsidRPr="00FC69AA" w:rsidRDefault="00E021A5" w:rsidP="00E021A5">
      <w:pPr>
        <w:pStyle w:val="StyleHeading2JustifiedBefore6ptAfter6pt1"/>
        <w:numPr>
          <w:ilvl w:val="0"/>
          <w:numId w:val="0"/>
        </w:numPr>
      </w:pPr>
      <w:r w:rsidRPr="00FC69AA">
        <w:lastRenderedPageBreak/>
        <w:t>Software Information</w:t>
      </w:r>
    </w:p>
    <w:p w14:paraId="445950F4" w14:textId="77777777" w:rsidR="00E021A5" w:rsidRDefault="00E021A5" w:rsidP="00CB1B84">
      <w:pPr>
        <w:pStyle w:val="BodyText"/>
      </w:pPr>
    </w:p>
    <w:p w14:paraId="27CEA029" w14:textId="6946B844" w:rsidR="00E021A5" w:rsidRDefault="00BC0F4E" w:rsidP="00AF4E83">
      <w:pPr>
        <w:pStyle w:val="Body1"/>
      </w:pPr>
      <w:r>
        <w:rPr>
          <w:noProof/>
        </w:rPr>
        <w:drawing>
          <wp:inline distT="0" distB="0" distL="0" distR="0" wp14:anchorId="6EDBEEAC" wp14:editId="0EB24D28">
            <wp:extent cx="2105025" cy="886682"/>
            <wp:effectExtent l="0" t="0" r="0" b="889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46" cy="89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4FC99" w14:textId="4318A6E8" w:rsidR="00690B66" w:rsidRDefault="0060139D" w:rsidP="00556DBB">
      <w:pPr>
        <w:pStyle w:val="Body1"/>
      </w:pPr>
      <w:r w:rsidRPr="00556DBB">
        <w:rPr>
          <w:rFonts w:asciiTheme="minorHAnsi" w:eastAsia="Arial" w:hAnsiTheme="minorHAnsi" w:cstheme="minorHAnsi"/>
          <w:color w:val="262626" w:themeColor="text1" w:themeTint="D9"/>
          <w:sz w:val="22"/>
          <w:szCs w:val="22"/>
        </w:rPr>
        <w:t xml:space="preserve">Evidence </w:t>
      </w:r>
      <w:proofErr w:type="spellStart"/>
      <w:r w:rsidRPr="00556DBB">
        <w:rPr>
          <w:rFonts w:asciiTheme="minorHAnsi" w:eastAsia="Arial" w:hAnsiTheme="minorHAnsi" w:cstheme="minorHAnsi"/>
          <w:color w:val="262626" w:themeColor="text1" w:themeTint="D9"/>
          <w:sz w:val="22"/>
          <w:szCs w:val="22"/>
        </w:rPr>
        <w:t>Optix</w:t>
      </w:r>
      <w:proofErr w:type="spellEnd"/>
      <w:r>
        <w:rPr>
          <w:rFonts w:asciiTheme="minorHAnsi" w:eastAsia="Arial" w:hAnsiTheme="minorHAnsi" w:cstheme="minorHAnsi"/>
          <w:color w:val="262626" w:themeColor="text1" w:themeTint="D9"/>
          <w:sz w:val="22"/>
          <w:szCs w:val="22"/>
        </w:rPr>
        <w:t>®</w:t>
      </w:r>
      <w:r w:rsidRPr="00556DBB">
        <w:rPr>
          <w:rFonts w:asciiTheme="minorHAnsi" w:eastAsia="Arial" w:hAnsiTheme="minorHAnsi" w:cstheme="minorHAnsi"/>
          <w:color w:val="262626" w:themeColor="text1" w:themeTint="D9"/>
          <w:sz w:val="22"/>
          <w:szCs w:val="22"/>
        </w:rPr>
        <w:t xml:space="preserve"> </w:t>
      </w:r>
      <w:r w:rsidR="00DD0B13">
        <w:rPr>
          <w:rFonts w:asciiTheme="minorHAnsi" w:eastAsia="Arial" w:hAnsiTheme="minorHAnsi" w:cstheme="minorHAnsi"/>
          <w:color w:val="262626" w:themeColor="text1" w:themeTint="D9"/>
          <w:sz w:val="22"/>
          <w:szCs w:val="22"/>
        </w:rPr>
        <w:t xml:space="preserve">(EO) </w:t>
      </w:r>
      <w:r w:rsidRPr="00556DBB">
        <w:rPr>
          <w:rFonts w:asciiTheme="minorHAnsi" w:eastAsia="Arial" w:hAnsiTheme="minorHAnsi" w:cstheme="minorHAnsi"/>
          <w:color w:val="262626" w:themeColor="text1" w:themeTint="D9"/>
          <w:sz w:val="22"/>
          <w:szCs w:val="22"/>
        </w:rPr>
        <w:t xml:space="preserve">empowers early discovery scoping, budget projections, proportionality analysis, and data source tracking </w:t>
      </w:r>
      <w:r w:rsidR="00091080">
        <w:rPr>
          <w:rFonts w:asciiTheme="minorHAnsi" w:eastAsia="Arial" w:hAnsiTheme="minorHAnsi" w:cstheme="minorHAnsi"/>
          <w:color w:val="262626" w:themeColor="text1" w:themeTint="D9"/>
          <w:sz w:val="22"/>
          <w:szCs w:val="22"/>
        </w:rPr>
        <w:t xml:space="preserve">to reduce costs and risk </w:t>
      </w:r>
      <w:r w:rsidRPr="00556DBB">
        <w:rPr>
          <w:rFonts w:asciiTheme="minorHAnsi" w:eastAsia="Arial" w:hAnsiTheme="minorHAnsi" w:cstheme="minorHAnsi"/>
          <w:color w:val="262626" w:themeColor="text1" w:themeTint="D9"/>
          <w:sz w:val="22"/>
          <w:szCs w:val="22"/>
        </w:rPr>
        <w:t>throughout the litigation lifecycle.</w:t>
      </w:r>
      <w:r w:rsidR="00DD0B13">
        <w:rPr>
          <w:rFonts w:asciiTheme="minorHAnsi" w:eastAsia="Arial" w:hAnsiTheme="minorHAnsi" w:cstheme="minorHAnsi"/>
          <w:color w:val="262626" w:themeColor="text1" w:themeTint="D9"/>
          <w:sz w:val="22"/>
          <w:szCs w:val="22"/>
        </w:rPr>
        <w:t xml:space="preserve"> An</w:t>
      </w:r>
      <w:r w:rsidR="00AC1FAF">
        <w:t xml:space="preserve"> attorney-driven SaaS solution</w:t>
      </w:r>
      <w:r w:rsidR="00DD0B13">
        <w:t>, EO</w:t>
      </w:r>
      <w:r w:rsidR="00AC1FAF">
        <w:t xml:space="preserve"> </w:t>
      </w:r>
      <w:r w:rsidR="00690B66">
        <w:t xml:space="preserve">employs a simple, yet powerful workflow that commences in the gap between legal hold and collection – where early decisions significantly impact cost and burden downstream. </w:t>
      </w:r>
    </w:p>
    <w:p w14:paraId="6107E1B6" w14:textId="0441EDCA" w:rsidR="009842D7" w:rsidRDefault="00F93762" w:rsidP="00556DBB">
      <w:pPr>
        <w:pStyle w:val="Body1"/>
      </w:pPr>
      <w:r>
        <w:t xml:space="preserve">EO </w:t>
      </w:r>
      <w:r w:rsidR="009842D7">
        <w:t xml:space="preserve">is user friendly, requires no software installation, employs no “black box” algorithms, and can be spun up in </w:t>
      </w:r>
      <w:r w:rsidR="00DB5757">
        <w:t>just</w:t>
      </w:r>
      <w:r w:rsidR="009842D7">
        <w:t xml:space="preserve"> a few days</w:t>
      </w:r>
      <w:r w:rsidR="00DD56D9">
        <w:t>,</w:t>
      </w:r>
      <w:r w:rsidR="009842D7">
        <w:t xml:space="preserve"> so you can start experiencing the benefits of EO on your next matter.</w:t>
      </w:r>
    </w:p>
    <w:p w14:paraId="5EDC314F" w14:textId="25CC70E9" w:rsidR="00AC1FAF" w:rsidRDefault="001D34ED" w:rsidP="001D34ED">
      <w:pPr>
        <w:pStyle w:val="Body1"/>
        <w:jc w:val="center"/>
      </w:pPr>
      <w:r>
        <w:rPr>
          <w:noProof/>
        </w:rPr>
        <w:drawing>
          <wp:inline distT="0" distB="0" distL="0" distR="0" wp14:anchorId="2F144F05" wp14:editId="45D1636B">
            <wp:extent cx="4217035" cy="2675453"/>
            <wp:effectExtent l="12700" t="12700" r="12065" b="17145"/>
            <wp:docPr id="4" name="Picture 4" descr="Table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, calendar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613" cy="2685971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35CB2976" w14:textId="4385A843" w:rsidR="00AC1FAF" w:rsidRDefault="00AC1FAF" w:rsidP="00556DBB">
      <w:pPr>
        <w:pStyle w:val="Body1"/>
      </w:pPr>
      <w:r>
        <w:t xml:space="preserve">This game-changing framework: </w:t>
      </w:r>
    </w:p>
    <w:p w14:paraId="5A42C180" w14:textId="4456DED8" w:rsidR="00AC1FAF" w:rsidRDefault="00AC1FAF" w:rsidP="00AC1FAF">
      <w:pPr>
        <w:pStyle w:val="Body1"/>
        <w:numPr>
          <w:ilvl w:val="0"/>
          <w:numId w:val="23"/>
        </w:numPr>
      </w:pPr>
      <w:r>
        <w:t>Guides legal teams through a systematic custodian and data assessment</w:t>
      </w:r>
    </w:p>
    <w:p w14:paraId="79BE8F90" w14:textId="5868798D" w:rsidR="00AC1FAF" w:rsidRDefault="00AC1FAF" w:rsidP="00AC1FAF">
      <w:pPr>
        <w:pStyle w:val="Body1"/>
        <w:numPr>
          <w:ilvl w:val="0"/>
          <w:numId w:val="23"/>
        </w:numPr>
      </w:pPr>
      <w:r>
        <w:t>Ranks custodians based on their level of importance</w:t>
      </w:r>
    </w:p>
    <w:p w14:paraId="3B0C01E5" w14:textId="21A318E3" w:rsidR="00AC1FAF" w:rsidRDefault="00AC1FAF" w:rsidP="00AC1FAF">
      <w:pPr>
        <w:pStyle w:val="Body1"/>
        <w:numPr>
          <w:ilvl w:val="0"/>
          <w:numId w:val="23"/>
        </w:numPr>
      </w:pPr>
      <w:r>
        <w:t>Scores data source burden and effort</w:t>
      </w:r>
    </w:p>
    <w:p w14:paraId="08FE7F88" w14:textId="41164F48" w:rsidR="00AC1FAF" w:rsidRDefault="00AC1FAF" w:rsidP="00AC1FAF">
      <w:pPr>
        <w:pStyle w:val="Body1"/>
        <w:numPr>
          <w:ilvl w:val="0"/>
          <w:numId w:val="23"/>
        </w:numPr>
      </w:pPr>
      <w:r>
        <w:t>Calculates real-time cost projections</w:t>
      </w:r>
    </w:p>
    <w:p w14:paraId="0FEC4637" w14:textId="42E8B9F4" w:rsidR="00AC1FAF" w:rsidRDefault="00AC1FAF" w:rsidP="00AC1FAF">
      <w:pPr>
        <w:pStyle w:val="Body1"/>
        <w:numPr>
          <w:ilvl w:val="0"/>
          <w:numId w:val="23"/>
        </w:numPr>
      </w:pPr>
      <w:r>
        <w:t>Enables scenario generation for budgeting, negotiation, and proportionality arguments</w:t>
      </w:r>
    </w:p>
    <w:p w14:paraId="7C6FE9EA" w14:textId="295417E3" w:rsidR="00AC1FAF" w:rsidRDefault="00AC1FAF">
      <w:pPr>
        <w:pStyle w:val="Body1"/>
        <w:numPr>
          <w:ilvl w:val="0"/>
          <w:numId w:val="23"/>
        </w:numPr>
      </w:pPr>
      <w:r>
        <w:t xml:space="preserve">Provides a dynamic iterative process as the facts in dispute are refined </w:t>
      </w:r>
    </w:p>
    <w:p w14:paraId="324035C4" w14:textId="77777777" w:rsidR="006C4AE1" w:rsidRDefault="006C4AE1" w:rsidP="00AF4E83">
      <w:pPr>
        <w:pStyle w:val="Body1"/>
      </w:pPr>
    </w:p>
    <w:p w14:paraId="3CE2FBF8" w14:textId="6966131E" w:rsidR="00E021A5" w:rsidRPr="008C77D5" w:rsidRDefault="006966E8" w:rsidP="00AF4E83">
      <w:pPr>
        <w:pStyle w:val="Body1"/>
      </w:pPr>
      <w:r>
        <w:t>Learn more at</w:t>
      </w:r>
      <w:r w:rsidR="005D7D49">
        <w:t xml:space="preserve"> </w:t>
      </w:r>
      <w:hyperlink r:id="rId17" w:history="1">
        <w:r w:rsidR="005D7D49" w:rsidRPr="00832C5A">
          <w:rPr>
            <w:rStyle w:val="Hyperlink"/>
          </w:rPr>
          <w:t>https://insightoptix.com/evidence</w:t>
        </w:r>
        <w:r w:rsidR="006C4AE1" w:rsidRPr="00832C5A">
          <w:rPr>
            <w:rStyle w:val="Hyperlink"/>
          </w:rPr>
          <w:t>-optix-fe</w:t>
        </w:r>
      </w:hyperlink>
      <w:r w:rsidR="006C4AE1">
        <w:t>/.</w:t>
      </w:r>
    </w:p>
    <w:sectPr w:rsidR="00E021A5" w:rsidRPr="008C77D5" w:rsidSect="00E021A5">
      <w:footerReference w:type="default" r:id="rId18"/>
      <w:footerReference w:type="first" r:id="rId19"/>
      <w:pgSz w:w="11907" w:h="16840" w:code="9"/>
      <w:pgMar w:top="99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84A4" w14:textId="77777777" w:rsidR="00DF23AD" w:rsidRDefault="00DF23AD">
      <w:r>
        <w:separator/>
      </w:r>
    </w:p>
  </w:endnote>
  <w:endnote w:type="continuationSeparator" w:id="0">
    <w:p w14:paraId="1CE2F6A5" w14:textId="77777777" w:rsidR="00DF23AD" w:rsidRDefault="00DF23AD">
      <w:r>
        <w:continuationSeparator/>
      </w:r>
    </w:p>
  </w:endnote>
  <w:endnote w:type="continuationNotice" w:id="1">
    <w:p w14:paraId="4F892476" w14:textId="77777777" w:rsidR="00DF23AD" w:rsidRDefault="00DF23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1A09" w14:textId="77777777" w:rsidR="00F903F3" w:rsidRDefault="00F903F3" w:rsidP="00325E49">
    <w:pPr>
      <w:pStyle w:val="Footer"/>
    </w:pPr>
  </w:p>
  <w:p w14:paraId="4D95B418" w14:textId="77777777" w:rsidR="00F903F3" w:rsidRDefault="00000000" w:rsidP="00325E49">
    <w:pPr>
      <w:pStyle w:val="Footer"/>
    </w:pPr>
    <w:sdt>
      <w:sdtPr>
        <w:alias w:val="DocID"/>
        <w:tag w:val="DocID"/>
        <w:id w:val="1506560089"/>
        <w:text/>
      </w:sdtPr>
      <w:sdtContent>
        <w:r w:rsidR="00F903F3">
          <w:t xml:space="preserve">     </w:t>
        </w:r>
      </w:sdtContent>
    </w:sdt>
    <w:r w:rsidR="00F903F3">
      <w:tab/>
    </w:r>
    <w:r w:rsidR="00F903F3">
      <w:tab/>
    </w:r>
    <w:sdt>
      <w:sdtPr>
        <w:alias w:val="Firm name"/>
        <w:tag w:val="FirmName"/>
        <w:id w:val="-448084639"/>
        <w:showingPlcHdr/>
        <w:text/>
      </w:sdtPr>
      <w:sdtContent/>
    </w:sdt>
  </w:p>
  <w:p w14:paraId="032ADB0F" w14:textId="77777777" w:rsidR="00F903F3" w:rsidRDefault="00F903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6798" w14:textId="77777777" w:rsidR="00F903F3" w:rsidRDefault="00F903F3">
    <w:pPr>
      <w:pStyle w:val="Footer"/>
    </w:pPr>
  </w:p>
  <w:p w14:paraId="2F630790" w14:textId="77777777" w:rsidR="00F903F3" w:rsidRDefault="00000000">
    <w:pPr>
      <w:pStyle w:val="Footer"/>
    </w:pPr>
    <w:sdt>
      <w:sdtPr>
        <w:alias w:val="DocID"/>
        <w:tag w:val="DocID"/>
        <w:id w:val="-1417707420"/>
        <w:text/>
      </w:sdtPr>
      <w:sdtContent>
        <w:r w:rsidR="00F903F3">
          <w:t xml:space="preserve">     </w:t>
        </w:r>
      </w:sdtContent>
    </w:sdt>
    <w:r w:rsidR="00F903F3">
      <w:tab/>
    </w:r>
    <w:r w:rsidR="00F903F3">
      <w:tab/>
    </w:r>
    <w:sdt>
      <w:sdtPr>
        <w:alias w:val="Firm name"/>
        <w:tag w:val="FirmName"/>
        <w:id w:val="-565877776"/>
        <w:showingPlcHdr/>
        <w:text/>
      </w:sdtPr>
      <w:sdtContent/>
    </w:sdt>
  </w:p>
  <w:p w14:paraId="0525F4E2" w14:textId="77777777" w:rsidR="00F903F3" w:rsidRDefault="00F90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F05F" w14:textId="77777777" w:rsidR="00DF23AD" w:rsidRPr="00586325" w:rsidRDefault="00DF23AD" w:rsidP="00586325">
      <w:pPr>
        <w:pStyle w:val="Footer"/>
      </w:pPr>
      <w:r>
        <w:continuationSeparator/>
      </w:r>
    </w:p>
  </w:footnote>
  <w:footnote w:type="continuationSeparator" w:id="0">
    <w:p w14:paraId="2065093B" w14:textId="77777777" w:rsidR="00DF23AD" w:rsidRDefault="00DF23AD" w:rsidP="00586325">
      <w:pPr>
        <w:pStyle w:val="Footer"/>
      </w:pPr>
      <w:r>
        <w:continuationSeparator/>
      </w:r>
    </w:p>
  </w:footnote>
  <w:footnote w:type="continuationNotice" w:id="1">
    <w:p w14:paraId="6618658B" w14:textId="77777777" w:rsidR="00DF23AD" w:rsidRDefault="00DF23A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5AB9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A69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A6B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5EB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0B0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7CC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B2B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AC99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DE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127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F1721"/>
    <w:multiLevelType w:val="hybridMultilevel"/>
    <w:tmpl w:val="5B72A09C"/>
    <w:lvl w:ilvl="0" w:tplc="331E8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25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DEE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2F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220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9C8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AF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68D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CF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74F7D"/>
    <w:multiLevelType w:val="multilevel"/>
    <w:tmpl w:val="0790824A"/>
    <w:name w:val="CustomListNum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98034E"/>
    <w:multiLevelType w:val="hybridMultilevel"/>
    <w:tmpl w:val="B78E76CA"/>
    <w:lvl w:ilvl="0" w:tplc="ED349F5A">
      <w:start w:val="1"/>
      <w:numFmt w:val="decimal"/>
      <w:pStyle w:val="TOC4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4" w15:restartNumberingAfterBreak="0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694335E"/>
    <w:multiLevelType w:val="hybridMultilevel"/>
    <w:tmpl w:val="AE86C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0605F"/>
    <w:multiLevelType w:val="multilevel"/>
    <w:tmpl w:val="05EA2F5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17" w15:restartNumberingAfterBreak="0">
    <w:nsid w:val="355C5091"/>
    <w:multiLevelType w:val="multilevel"/>
    <w:tmpl w:val="0409001D"/>
    <w:name w:val="lis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9733166"/>
    <w:multiLevelType w:val="hybridMultilevel"/>
    <w:tmpl w:val="3C865FF6"/>
    <w:lvl w:ilvl="0" w:tplc="DAC69E5A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1F7C2C"/>
    <w:multiLevelType w:val="hybridMultilevel"/>
    <w:tmpl w:val="DD8C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960E3"/>
    <w:multiLevelType w:val="multilevel"/>
    <w:tmpl w:val="19A88A9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929"/>
        </w:tabs>
        <w:ind w:left="929" w:hanging="709"/>
      </w:pPr>
      <w:rPr>
        <w:rFonts w:ascii="Arial" w:hAnsi="Arial"/>
        <w:sz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/>
        <w:sz w:val="22"/>
      </w:rPr>
    </w:lvl>
    <w:lvl w:ilvl="3">
      <w:start w:val="1"/>
      <w:numFmt w:val="lowerLetter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/>
        <w:sz w:val="22"/>
      </w:rPr>
    </w:lvl>
    <w:lvl w:ilvl="4">
      <w:start w:val="1"/>
      <w:numFmt w:val="lowerRoman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/>
        <w:sz w:val="22"/>
      </w:rPr>
    </w:lvl>
    <w:lvl w:ilvl="5">
      <w:start w:val="1"/>
      <w:numFmt w:val="upperLetter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/>
        <w:sz w:val="22"/>
      </w:rPr>
    </w:lvl>
    <w:lvl w:ilvl="6">
      <w:start w:val="1"/>
      <w:numFmt w:val="upperRoman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6A272CEC"/>
    <w:multiLevelType w:val="hybridMultilevel"/>
    <w:tmpl w:val="4562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567A6"/>
    <w:multiLevelType w:val="hybridMultilevel"/>
    <w:tmpl w:val="206C2D9E"/>
    <w:lvl w:ilvl="0" w:tplc="B4688C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849369">
    <w:abstractNumId w:val="11"/>
  </w:num>
  <w:num w:numId="2" w16cid:durableId="808745707">
    <w:abstractNumId w:val="14"/>
  </w:num>
  <w:num w:numId="3" w16cid:durableId="566768545">
    <w:abstractNumId w:val="18"/>
  </w:num>
  <w:num w:numId="4" w16cid:durableId="1066948822">
    <w:abstractNumId w:val="12"/>
  </w:num>
  <w:num w:numId="5" w16cid:durableId="2046833997">
    <w:abstractNumId w:val="16"/>
  </w:num>
  <w:num w:numId="6" w16cid:durableId="180628530">
    <w:abstractNumId w:val="9"/>
  </w:num>
  <w:num w:numId="7" w16cid:durableId="495341431">
    <w:abstractNumId w:val="7"/>
  </w:num>
  <w:num w:numId="8" w16cid:durableId="1905674473">
    <w:abstractNumId w:val="6"/>
  </w:num>
  <w:num w:numId="9" w16cid:durableId="2002807334">
    <w:abstractNumId w:val="5"/>
  </w:num>
  <w:num w:numId="10" w16cid:durableId="2089494876">
    <w:abstractNumId w:val="4"/>
  </w:num>
  <w:num w:numId="11" w16cid:durableId="1288508551">
    <w:abstractNumId w:val="8"/>
  </w:num>
  <w:num w:numId="12" w16cid:durableId="1107313754">
    <w:abstractNumId w:val="3"/>
  </w:num>
  <w:num w:numId="13" w16cid:durableId="753169237">
    <w:abstractNumId w:val="2"/>
  </w:num>
  <w:num w:numId="14" w16cid:durableId="1702363690">
    <w:abstractNumId w:val="1"/>
  </w:num>
  <w:num w:numId="15" w16cid:durableId="1758866033">
    <w:abstractNumId w:val="0"/>
  </w:num>
  <w:num w:numId="16" w16cid:durableId="607153580">
    <w:abstractNumId w:val="13"/>
  </w:num>
  <w:num w:numId="17" w16cid:durableId="1853954184">
    <w:abstractNumId w:val="22"/>
  </w:num>
  <w:num w:numId="18" w16cid:durableId="1790078785">
    <w:abstractNumId w:val="20"/>
  </w:num>
  <w:num w:numId="19" w16cid:durableId="276841658">
    <w:abstractNumId w:val="15"/>
  </w:num>
  <w:num w:numId="20" w16cid:durableId="1230386245">
    <w:abstractNumId w:val="11"/>
  </w:num>
  <w:num w:numId="21" w16cid:durableId="399061547">
    <w:abstractNumId w:val="10"/>
  </w:num>
  <w:num w:numId="22" w16cid:durableId="1685591483">
    <w:abstractNumId w:val="21"/>
  </w:num>
  <w:num w:numId="23" w16cid:durableId="72086198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6F"/>
    <w:rsid w:val="00001EFF"/>
    <w:rsid w:val="00002F65"/>
    <w:rsid w:val="00014FC2"/>
    <w:rsid w:val="00041450"/>
    <w:rsid w:val="0004544B"/>
    <w:rsid w:val="00052EC4"/>
    <w:rsid w:val="0006412D"/>
    <w:rsid w:val="000665D1"/>
    <w:rsid w:val="00071E3B"/>
    <w:rsid w:val="0007442C"/>
    <w:rsid w:val="000903CA"/>
    <w:rsid w:val="00091080"/>
    <w:rsid w:val="00093909"/>
    <w:rsid w:val="000A6825"/>
    <w:rsid w:val="000A7590"/>
    <w:rsid w:val="000C1974"/>
    <w:rsid w:val="000C3424"/>
    <w:rsid w:val="000C42E6"/>
    <w:rsid w:val="000D027D"/>
    <w:rsid w:val="000D2153"/>
    <w:rsid w:val="000D77B5"/>
    <w:rsid w:val="000D7A8E"/>
    <w:rsid w:val="000E47F4"/>
    <w:rsid w:val="000E505F"/>
    <w:rsid w:val="001017CF"/>
    <w:rsid w:val="00101A53"/>
    <w:rsid w:val="0011634C"/>
    <w:rsid w:val="001213C6"/>
    <w:rsid w:val="00164A05"/>
    <w:rsid w:val="00173269"/>
    <w:rsid w:val="001913C1"/>
    <w:rsid w:val="001A7B06"/>
    <w:rsid w:val="001D34ED"/>
    <w:rsid w:val="001E6B68"/>
    <w:rsid w:val="001F0824"/>
    <w:rsid w:val="00242036"/>
    <w:rsid w:val="00247E76"/>
    <w:rsid w:val="0025196A"/>
    <w:rsid w:val="00284B7B"/>
    <w:rsid w:val="0028605F"/>
    <w:rsid w:val="0029551F"/>
    <w:rsid w:val="00296DBD"/>
    <w:rsid w:val="002A2CA4"/>
    <w:rsid w:val="002B3CD7"/>
    <w:rsid w:val="002B6C84"/>
    <w:rsid w:val="002C6598"/>
    <w:rsid w:val="002D6180"/>
    <w:rsid w:val="00325E49"/>
    <w:rsid w:val="003618F4"/>
    <w:rsid w:val="00362D12"/>
    <w:rsid w:val="00364FEC"/>
    <w:rsid w:val="003B00AA"/>
    <w:rsid w:val="003C1C29"/>
    <w:rsid w:val="003C4640"/>
    <w:rsid w:val="003D149A"/>
    <w:rsid w:val="003D19AA"/>
    <w:rsid w:val="003D599E"/>
    <w:rsid w:val="003D711B"/>
    <w:rsid w:val="003E4347"/>
    <w:rsid w:val="003E4426"/>
    <w:rsid w:val="004126E3"/>
    <w:rsid w:val="004318BF"/>
    <w:rsid w:val="00435F6F"/>
    <w:rsid w:val="00443C4F"/>
    <w:rsid w:val="00460539"/>
    <w:rsid w:val="00465E13"/>
    <w:rsid w:val="00474065"/>
    <w:rsid w:val="00486920"/>
    <w:rsid w:val="004A6740"/>
    <w:rsid w:val="004B05D7"/>
    <w:rsid w:val="004D0C0A"/>
    <w:rsid w:val="004E5622"/>
    <w:rsid w:val="00507193"/>
    <w:rsid w:val="00521D19"/>
    <w:rsid w:val="00521D74"/>
    <w:rsid w:val="005427ED"/>
    <w:rsid w:val="00543BB0"/>
    <w:rsid w:val="00556DBB"/>
    <w:rsid w:val="00563D29"/>
    <w:rsid w:val="00586325"/>
    <w:rsid w:val="005C58DF"/>
    <w:rsid w:val="005D1FD0"/>
    <w:rsid w:val="005D2CD8"/>
    <w:rsid w:val="005D7D49"/>
    <w:rsid w:val="005E208C"/>
    <w:rsid w:val="005F30A9"/>
    <w:rsid w:val="0060139D"/>
    <w:rsid w:val="00611F80"/>
    <w:rsid w:val="00615756"/>
    <w:rsid w:val="00631605"/>
    <w:rsid w:val="00633CD3"/>
    <w:rsid w:val="00637CE7"/>
    <w:rsid w:val="00671861"/>
    <w:rsid w:val="00690B66"/>
    <w:rsid w:val="006966E8"/>
    <w:rsid w:val="006C4AE1"/>
    <w:rsid w:val="006E1EA1"/>
    <w:rsid w:val="006F14C2"/>
    <w:rsid w:val="006F652F"/>
    <w:rsid w:val="00760CDE"/>
    <w:rsid w:val="00777452"/>
    <w:rsid w:val="00790859"/>
    <w:rsid w:val="007B159D"/>
    <w:rsid w:val="007B5511"/>
    <w:rsid w:val="007D10E8"/>
    <w:rsid w:val="007D23CB"/>
    <w:rsid w:val="007D4683"/>
    <w:rsid w:val="007E239B"/>
    <w:rsid w:val="007E74EE"/>
    <w:rsid w:val="007F7F66"/>
    <w:rsid w:val="00803281"/>
    <w:rsid w:val="00822317"/>
    <w:rsid w:val="00826150"/>
    <w:rsid w:val="008305D6"/>
    <w:rsid w:val="00831E1B"/>
    <w:rsid w:val="00832C5A"/>
    <w:rsid w:val="00844AF0"/>
    <w:rsid w:val="00873927"/>
    <w:rsid w:val="008B2806"/>
    <w:rsid w:val="008C15DB"/>
    <w:rsid w:val="008C77D5"/>
    <w:rsid w:val="008D2FAB"/>
    <w:rsid w:val="008D639D"/>
    <w:rsid w:val="0095152E"/>
    <w:rsid w:val="009515B0"/>
    <w:rsid w:val="00957028"/>
    <w:rsid w:val="00983D98"/>
    <w:rsid w:val="009840BD"/>
    <w:rsid w:val="009842D7"/>
    <w:rsid w:val="00991669"/>
    <w:rsid w:val="009C1E1A"/>
    <w:rsid w:val="009E5624"/>
    <w:rsid w:val="009F5E0D"/>
    <w:rsid w:val="00A052D6"/>
    <w:rsid w:val="00A11298"/>
    <w:rsid w:val="00A116A8"/>
    <w:rsid w:val="00A47C60"/>
    <w:rsid w:val="00A54CED"/>
    <w:rsid w:val="00A8385E"/>
    <w:rsid w:val="00AA422A"/>
    <w:rsid w:val="00AC1FAF"/>
    <w:rsid w:val="00AC2254"/>
    <w:rsid w:val="00AE6229"/>
    <w:rsid w:val="00AF4E83"/>
    <w:rsid w:val="00B01E2E"/>
    <w:rsid w:val="00B1696E"/>
    <w:rsid w:val="00B52415"/>
    <w:rsid w:val="00B676E1"/>
    <w:rsid w:val="00B70659"/>
    <w:rsid w:val="00B74657"/>
    <w:rsid w:val="00B8026E"/>
    <w:rsid w:val="00BC0F4E"/>
    <w:rsid w:val="00BE7F58"/>
    <w:rsid w:val="00BF6135"/>
    <w:rsid w:val="00C05BB4"/>
    <w:rsid w:val="00C10D16"/>
    <w:rsid w:val="00C1247B"/>
    <w:rsid w:val="00C25227"/>
    <w:rsid w:val="00C26348"/>
    <w:rsid w:val="00C266C0"/>
    <w:rsid w:val="00C32949"/>
    <w:rsid w:val="00C372A1"/>
    <w:rsid w:val="00C40C31"/>
    <w:rsid w:val="00C77C6E"/>
    <w:rsid w:val="00C8006E"/>
    <w:rsid w:val="00C84D44"/>
    <w:rsid w:val="00C96286"/>
    <w:rsid w:val="00CA0C31"/>
    <w:rsid w:val="00CB1B84"/>
    <w:rsid w:val="00CC10E7"/>
    <w:rsid w:val="00CC356C"/>
    <w:rsid w:val="00CD3C44"/>
    <w:rsid w:val="00CE2D50"/>
    <w:rsid w:val="00CE7735"/>
    <w:rsid w:val="00D03D1D"/>
    <w:rsid w:val="00D15D22"/>
    <w:rsid w:val="00D23671"/>
    <w:rsid w:val="00D2538C"/>
    <w:rsid w:val="00D25E01"/>
    <w:rsid w:val="00D310C4"/>
    <w:rsid w:val="00D6315A"/>
    <w:rsid w:val="00D67411"/>
    <w:rsid w:val="00DB4683"/>
    <w:rsid w:val="00DB5757"/>
    <w:rsid w:val="00DB60B0"/>
    <w:rsid w:val="00DD0B13"/>
    <w:rsid w:val="00DD56D9"/>
    <w:rsid w:val="00DE287D"/>
    <w:rsid w:val="00DE3A4D"/>
    <w:rsid w:val="00DE49EE"/>
    <w:rsid w:val="00DF0E09"/>
    <w:rsid w:val="00DF23AD"/>
    <w:rsid w:val="00E021A5"/>
    <w:rsid w:val="00E0450D"/>
    <w:rsid w:val="00E107C0"/>
    <w:rsid w:val="00E22A1D"/>
    <w:rsid w:val="00E45680"/>
    <w:rsid w:val="00E61F2A"/>
    <w:rsid w:val="00E9015E"/>
    <w:rsid w:val="00EA6B38"/>
    <w:rsid w:val="00EC6DCB"/>
    <w:rsid w:val="00EC6E4B"/>
    <w:rsid w:val="00ED08A9"/>
    <w:rsid w:val="00F164AB"/>
    <w:rsid w:val="00F43FD5"/>
    <w:rsid w:val="00F71443"/>
    <w:rsid w:val="00F76F84"/>
    <w:rsid w:val="00F80302"/>
    <w:rsid w:val="00F82CC8"/>
    <w:rsid w:val="00F839CF"/>
    <w:rsid w:val="00F903F3"/>
    <w:rsid w:val="00F93762"/>
    <w:rsid w:val="00F95754"/>
    <w:rsid w:val="00F96686"/>
    <w:rsid w:val="00FB136B"/>
    <w:rsid w:val="00FB2B42"/>
    <w:rsid w:val="00FC3332"/>
    <w:rsid w:val="00FC4900"/>
    <w:rsid w:val="00FC69AA"/>
    <w:rsid w:val="00FE1786"/>
    <w:rsid w:val="00FE3D68"/>
    <w:rsid w:val="00FE55E0"/>
    <w:rsid w:val="00FF2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37483"/>
  <w15:docId w15:val="{1DD0E3DF-1575-44F5-976C-48CF8DA7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1"/>
        <w:szCs w:val="21"/>
        <w:lang w:val="en-GB" w:eastAsia="en-GB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iPriority="13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29"/>
    <w:lsdException w:name="List Bullet" w:uiPriority="29"/>
    <w:lsdException w:name="List Number" w:semiHidden="1" w:uiPriority="29" w:unhideWhenUsed="1"/>
    <w:lsdException w:name="List 2" w:semiHidden="1" w:uiPriority="29" w:unhideWhenUsed="1"/>
    <w:lsdException w:name="List 3" w:semiHidden="1" w:uiPriority="29" w:unhideWhenUsed="1"/>
    <w:lsdException w:name="List 4" w:semiHidden="1" w:uiPriority="29" w:unhideWhenUsed="1"/>
    <w:lsdException w:name="List 5" w:semiHidden="1" w:uiPriority="29" w:unhideWhenUsed="1"/>
    <w:lsdException w:name="List Bullet 2" w:semiHidden="1" w:uiPriority="29" w:unhideWhenUsed="1"/>
    <w:lsdException w:name="List Bullet 3" w:semiHidden="1" w:uiPriority="29" w:unhideWhenUsed="1"/>
    <w:lsdException w:name="List Bullet 4" w:semiHidden="1" w:uiPriority="29" w:unhideWhenUsed="1"/>
    <w:lsdException w:name="List Bullet 5" w:semiHidden="1" w:uiPriority="29" w:unhideWhenUsed="1"/>
    <w:lsdException w:name="List Number 2" w:semiHidden="1" w:uiPriority="29" w:unhideWhenUsed="1"/>
    <w:lsdException w:name="List Number 3" w:semiHidden="1" w:uiPriority="29" w:unhideWhenUsed="1"/>
    <w:lsdException w:name="List Number 4" w:semiHidden="1" w:uiPriority="29" w:unhideWhenUsed="1"/>
    <w:lsdException w:name="List Number 5" w:semiHidden="1" w:uiPriority="2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29" w:unhideWhenUsed="1"/>
    <w:lsdException w:name="List Continue 2" w:uiPriority="29"/>
    <w:lsdException w:name="List Continue 3" w:uiPriority="29"/>
    <w:lsdException w:name="List Continue 4" w:uiPriority="29"/>
    <w:lsdException w:name="List Continue 5" w:uiPriority="29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33"/>
    <w:lsdException w:name="Document Map" w:semiHidden="1" w:unhideWhenUsed="1"/>
    <w:lsdException w:name="Plain Text" w:semiHidden="1" w:unhideWhenUsed="1"/>
    <w:lsdException w:name="E-mail Signature" w:semiHidden="1" w:uiPriority="17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29" w:unhideWhenUsed="1"/>
    <w:lsdException w:name="HTML Address" w:semiHidden="1" w:uiPriority="29" w:unhideWhenUsed="1"/>
    <w:lsdException w:name="HTML Cite" w:semiHidden="1" w:uiPriority="29" w:unhideWhenUsed="1"/>
    <w:lsdException w:name="HTML Code" w:semiHidden="1" w:uiPriority="29" w:unhideWhenUsed="1"/>
    <w:lsdException w:name="HTML Definition" w:semiHidden="1" w:uiPriority="29" w:unhideWhenUsed="1"/>
    <w:lsdException w:name="HTML Keyboard" w:semiHidden="1" w:uiPriority="29" w:unhideWhenUsed="1"/>
    <w:lsdException w:name="HTML Preformatted" w:semiHidden="1" w:uiPriority="29" w:unhideWhenUsed="1"/>
    <w:lsdException w:name="HTML Sample" w:semiHidden="1" w:uiPriority="29" w:unhideWhenUsed="1"/>
    <w:lsdException w:name="HTML Typewriter" w:semiHidden="1" w:uiPriority="29" w:unhideWhenUsed="1"/>
    <w:lsdException w:name="HTML Variable" w:semiHidden="1" w:uiPriority="29" w:unhideWhenUsed="1"/>
    <w:lsdException w:name="Normal Table" w:semiHidden="1" w:unhideWhenUsed="1"/>
    <w:lsdException w:name="annotation subject" w:semiHidden="1" w:uiPriority="17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semiHidden="1" w:uiPriority="4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34" w:qFormat="1"/>
    <w:lsdException w:name="Intense Emphasis" w:semiHidden="1" w:uiPriority="59" w:qFormat="1"/>
    <w:lsdException w:name="Subtle Reference" w:semiHidden="1" w:uiPriority="41" w:qFormat="1"/>
    <w:lsdException w:name="Intense Reference" w:semiHidden="1" w:uiPriority="59" w:qFormat="1"/>
    <w:lsdException w:name="Book Title" w:uiPriority="33" w:qFormat="1"/>
    <w:lsdException w:name="Bibliography" w:semiHidden="1" w:uiPriority="4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sid w:val="00D67411"/>
    <w:rPr>
      <w:rFonts w:eastAsia="Arial Unicode MS"/>
    </w:rPr>
  </w:style>
  <w:style w:type="paragraph" w:styleId="Heading1">
    <w:name w:val="heading 1"/>
    <w:basedOn w:val="Level1"/>
    <w:next w:val="Body2"/>
    <w:link w:val="Heading1Char"/>
    <w:qFormat/>
    <w:rsid w:val="00002F65"/>
    <w:pPr>
      <w:keepNext/>
    </w:pPr>
    <w:rPr>
      <w:b/>
      <w:smallCaps/>
    </w:rPr>
  </w:style>
  <w:style w:type="paragraph" w:styleId="Heading2">
    <w:name w:val="heading 2"/>
    <w:basedOn w:val="Level2"/>
    <w:next w:val="Body2"/>
    <w:link w:val="Heading2Char"/>
    <w:qFormat/>
    <w:rsid w:val="00002F65"/>
    <w:pPr>
      <w:keepNext/>
    </w:pPr>
    <w:rPr>
      <w:b/>
    </w:rPr>
  </w:style>
  <w:style w:type="paragraph" w:styleId="Heading3">
    <w:name w:val="heading 3"/>
    <w:basedOn w:val="Level3"/>
    <w:next w:val="Body3"/>
    <w:link w:val="Heading3Char"/>
    <w:qFormat/>
    <w:rsid w:val="00002F65"/>
    <w:pPr>
      <w:keepNext/>
      <w:ind w:left="1418" w:hanging="709"/>
    </w:pPr>
    <w:rPr>
      <w:b/>
    </w:rPr>
  </w:style>
  <w:style w:type="paragraph" w:styleId="Heading4">
    <w:name w:val="heading 4"/>
    <w:basedOn w:val="Level4"/>
    <w:next w:val="Body4"/>
    <w:link w:val="Heading4Char"/>
    <w:qFormat/>
    <w:rsid w:val="00002F65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uiPriority w:val="17"/>
    <w:semiHidden/>
    <w:pPr>
      <w:spacing w:after="210"/>
    </w:pPr>
  </w:style>
  <w:style w:type="paragraph" w:customStyle="1" w:styleId="Body1">
    <w:name w:val="Body 1"/>
    <w:basedOn w:val="Body"/>
    <w:link w:val="Body1Char"/>
    <w:qFormat/>
  </w:style>
  <w:style w:type="paragraph" w:customStyle="1" w:styleId="Body2">
    <w:name w:val="Body 2"/>
    <w:basedOn w:val="Body1"/>
    <w:link w:val="Body2Char"/>
    <w:qFormat/>
    <w:pPr>
      <w:ind w:left="709"/>
    </w:pPr>
  </w:style>
  <w:style w:type="paragraph" w:customStyle="1" w:styleId="Body3">
    <w:name w:val="Body 3"/>
    <w:basedOn w:val="Body2"/>
    <w:link w:val="Body3Char"/>
    <w:qFormat/>
    <w:pPr>
      <w:ind w:left="1418"/>
    </w:pPr>
  </w:style>
  <w:style w:type="paragraph" w:customStyle="1" w:styleId="Body4">
    <w:name w:val="Body 4"/>
    <w:basedOn w:val="Body3"/>
    <w:link w:val="Body4Char"/>
    <w:qFormat/>
    <w:pPr>
      <w:ind w:left="2126"/>
    </w:pPr>
  </w:style>
  <w:style w:type="paragraph" w:customStyle="1" w:styleId="Body5">
    <w:name w:val="Body 5"/>
    <w:basedOn w:val="Body4"/>
    <w:link w:val="Body5Char"/>
    <w:qFormat/>
    <w:pPr>
      <w:ind w:left="2835"/>
    </w:pPr>
  </w:style>
  <w:style w:type="character" w:customStyle="1" w:styleId="BoldText">
    <w:name w:val="BoldText"/>
    <w:basedOn w:val="DefaultParagraphFont"/>
    <w:uiPriority w:val="15"/>
    <w:qFormat/>
    <w:rPr>
      <w:b/>
    </w:rPr>
  </w:style>
  <w:style w:type="paragraph" w:styleId="Footer">
    <w:name w:val="footer"/>
    <w:basedOn w:val="Normal"/>
    <w:link w:val="FooterChar"/>
    <w:uiPriority w:val="13"/>
    <w:unhideWhenUsed/>
    <w:pPr>
      <w:tabs>
        <w:tab w:val="center" w:pos="4536"/>
        <w:tab w:val="right" w:pos="9072"/>
      </w:tabs>
      <w:jc w:val="left"/>
    </w:pPr>
    <w:rPr>
      <w:sz w:val="16"/>
    </w:rPr>
  </w:style>
  <w:style w:type="character" w:styleId="FootnoteReference">
    <w:name w:val="footnote reference"/>
    <w:basedOn w:val="DefaultParagraphFont"/>
    <w:uiPriority w:val="17"/>
    <w:unhideWhenUsed/>
    <w:rPr>
      <w:vertAlign w:val="superscript"/>
    </w:rPr>
  </w:style>
  <w:style w:type="paragraph" w:styleId="FootnoteText">
    <w:name w:val="footnote text"/>
    <w:basedOn w:val="Normal"/>
    <w:uiPriority w:val="17"/>
    <w:unhideWhenUsed/>
    <w:pPr>
      <w:tabs>
        <w:tab w:val="left" w:pos="720"/>
      </w:tabs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13"/>
    <w:unhideWhenUsed/>
    <w:pPr>
      <w:tabs>
        <w:tab w:val="center" w:pos="4536"/>
        <w:tab w:val="right" w:pos="9072"/>
      </w:tabs>
    </w:pPr>
  </w:style>
  <w:style w:type="character" w:customStyle="1" w:styleId="Heading1Text">
    <w:name w:val="Heading 1 Text"/>
    <w:basedOn w:val="BoldText"/>
    <w:uiPriority w:val="14"/>
    <w:qFormat/>
    <w:rPr>
      <w:b/>
      <w:smallCaps/>
    </w:rPr>
  </w:style>
  <w:style w:type="character" w:customStyle="1" w:styleId="Heading2Text">
    <w:name w:val="Heading 2 Text"/>
    <w:basedOn w:val="BoldText"/>
    <w:uiPriority w:val="14"/>
    <w:semiHidden/>
    <w:rPr>
      <w:b/>
    </w:rPr>
  </w:style>
  <w:style w:type="character" w:customStyle="1" w:styleId="Heading3Text">
    <w:name w:val="Heading 3 Text"/>
    <w:basedOn w:val="Heading2Text"/>
    <w:uiPriority w:val="14"/>
    <w:semiHidden/>
    <w:rPr>
      <w:b/>
    </w:rPr>
  </w:style>
  <w:style w:type="character" w:customStyle="1" w:styleId="Heading4Text">
    <w:name w:val="Heading 4 Text"/>
    <w:basedOn w:val="Heading3Text"/>
    <w:uiPriority w:val="14"/>
    <w:semiHidden/>
    <w:rPr>
      <w:b/>
    </w:rPr>
  </w:style>
  <w:style w:type="paragraph" w:customStyle="1" w:styleId="Level1">
    <w:name w:val="Level 1"/>
    <w:basedOn w:val="Body1"/>
    <w:next w:val="Body2"/>
    <w:link w:val="Level1Char"/>
    <w:uiPriority w:val="6"/>
    <w:qFormat/>
    <w:pPr>
      <w:numPr>
        <w:numId w:val="1"/>
      </w:numPr>
      <w:outlineLvl w:val="0"/>
    </w:pPr>
  </w:style>
  <w:style w:type="paragraph" w:customStyle="1" w:styleId="Level2">
    <w:name w:val="Level 2"/>
    <w:basedOn w:val="Body2"/>
    <w:next w:val="Body2"/>
    <w:link w:val="Level2Char"/>
    <w:uiPriority w:val="6"/>
    <w:qFormat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Body3"/>
    <w:next w:val="Body3"/>
    <w:link w:val="Level3Char"/>
    <w:uiPriority w:val="6"/>
    <w:qFormat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link w:val="Level5Char"/>
    <w:uiPriority w:val="6"/>
    <w:qFormat/>
    <w:pPr>
      <w:numPr>
        <w:ilvl w:val="4"/>
        <w:numId w:val="1"/>
      </w:numPr>
      <w:outlineLvl w:val="4"/>
    </w:pPr>
  </w:style>
  <w:style w:type="paragraph" w:styleId="TOC1">
    <w:name w:val="toc 1"/>
    <w:basedOn w:val="Body"/>
    <w:next w:val="Normal"/>
    <w:uiPriority w:val="39"/>
    <w:semiHidden/>
    <w:rsid w:val="009E5624"/>
    <w:pPr>
      <w:tabs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TOC2">
    <w:name w:val="toc 2"/>
    <w:basedOn w:val="Body1"/>
    <w:semiHidden/>
    <w:rsid w:val="000A6825"/>
    <w:pPr>
      <w:tabs>
        <w:tab w:val="left" w:pos="706"/>
        <w:tab w:val="left" w:pos="1418"/>
        <w:tab w:val="right" w:pos="9072"/>
      </w:tabs>
      <w:ind w:left="709"/>
    </w:pPr>
    <w:rPr>
      <w:b/>
    </w:rPr>
  </w:style>
  <w:style w:type="paragraph" w:styleId="TOC3">
    <w:name w:val="toc 3"/>
    <w:basedOn w:val="TOC2"/>
    <w:next w:val="Normal"/>
    <w:semiHidden/>
    <w:rsid w:val="00CE2D50"/>
    <w:pPr>
      <w:ind w:left="1418"/>
    </w:pPr>
    <w:rPr>
      <w:rFonts w:ascii="Arial Bold" w:hAnsi="Arial Bold"/>
    </w:rPr>
  </w:style>
  <w:style w:type="paragraph" w:styleId="TOC4">
    <w:name w:val="toc 4"/>
    <w:basedOn w:val="Normal"/>
    <w:next w:val="Normal"/>
    <w:uiPriority w:val="39"/>
    <w:semiHidden/>
    <w:rsid w:val="008C77D5"/>
    <w:pPr>
      <w:numPr>
        <w:numId w:val="16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BlockText">
    <w:name w:val="Block Text"/>
    <w:basedOn w:val="Normal"/>
    <w:uiPriority w:val="17"/>
    <w:semiHidden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character" w:customStyle="1" w:styleId="BoldItalicText">
    <w:name w:val="BoldItalicText"/>
    <w:basedOn w:val="DefaultParagraphFont"/>
    <w:uiPriority w:val="17"/>
    <w:semiHidden/>
    <w:rPr>
      <w:b/>
      <w:i/>
    </w:rPr>
  </w:style>
  <w:style w:type="character" w:customStyle="1" w:styleId="ItalicText">
    <w:name w:val="ItalicText"/>
    <w:basedOn w:val="DefaultParagraphFont"/>
    <w:uiPriority w:val="15"/>
    <w:qFormat/>
    <w:rPr>
      <w:i/>
    </w:rPr>
  </w:style>
  <w:style w:type="character" w:customStyle="1" w:styleId="BoldUnderlinedText">
    <w:name w:val="BoldUnderlinedText"/>
    <w:basedOn w:val="DefaultParagraphFont"/>
    <w:uiPriority w:val="17"/>
    <w:semiHidden/>
    <w:rPr>
      <w:b/>
      <w:u w:val="single"/>
    </w:rPr>
  </w:style>
  <w:style w:type="character" w:customStyle="1" w:styleId="UnderlinedText">
    <w:name w:val="UnderlinedText"/>
    <w:basedOn w:val="DefaultParagraphFont"/>
    <w:uiPriority w:val="15"/>
    <w:rPr>
      <w:u w:val="single"/>
    </w:rPr>
  </w:style>
  <w:style w:type="paragraph" w:styleId="BodyText2">
    <w:name w:val="Body Text 2"/>
    <w:basedOn w:val="Normal"/>
    <w:uiPriority w:val="17"/>
    <w:semiHidden/>
    <w:pPr>
      <w:spacing w:after="120" w:line="480" w:lineRule="auto"/>
    </w:pPr>
  </w:style>
  <w:style w:type="paragraph" w:styleId="BodyText3">
    <w:name w:val="Body Text 3"/>
    <w:basedOn w:val="Normal"/>
    <w:uiPriority w:val="17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uiPriority w:val="17"/>
    <w:semiHidden/>
    <w:pPr>
      <w:ind w:firstLine="210"/>
    </w:pPr>
  </w:style>
  <w:style w:type="paragraph" w:styleId="BodyTextIndent">
    <w:name w:val="Body Text Indent"/>
    <w:basedOn w:val="Normal"/>
    <w:uiPriority w:val="17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uiPriority w:val="17"/>
    <w:semiHidden/>
    <w:pPr>
      <w:ind w:firstLine="210"/>
    </w:pPr>
  </w:style>
  <w:style w:type="paragraph" w:styleId="BodyTextIndent2">
    <w:name w:val="Body Text Indent 2"/>
    <w:basedOn w:val="Normal"/>
    <w:uiPriority w:val="17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17"/>
    <w:semiHidden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uiPriority w:val="17"/>
    <w:unhideWhenUsed/>
    <w:pPr>
      <w:spacing w:before="120" w:after="120"/>
    </w:pPr>
    <w:rPr>
      <w:b/>
    </w:rPr>
  </w:style>
  <w:style w:type="paragraph" w:styleId="Closing">
    <w:name w:val="Closing"/>
    <w:basedOn w:val="Normal"/>
    <w:uiPriority w:val="17"/>
    <w:semiHidden/>
    <w:pPr>
      <w:ind w:left="4252"/>
    </w:pPr>
  </w:style>
  <w:style w:type="character" w:styleId="CommentReference">
    <w:name w:val="annotation reference"/>
    <w:basedOn w:val="DefaultParagraphFont"/>
    <w:uiPriority w:val="17"/>
    <w:semiHidden/>
    <w:rPr>
      <w:sz w:val="16"/>
    </w:rPr>
  </w:style>
  <w:style w:type="paragraph" w:styleId="CommentText">
    <w:name w:val="annotation text"/>
    <w:basedOn w:val="Normal"/>
    <w:link w:val="CommentTextChar"/>
    <w:uiPriority w:val="17"/>
    <w:semiHidden/>
    <w:rPr>
      <w:sz w:val="20"/>
    </w:rPr>
  </w:style>
  <w:style w:type="paragraph" w:styleId="Date">
    <w:name w:val="Date"/>
    <w:basedOn w:val="Normal"/>
    <w:next w:val="Normal"/>
    <w:uiPriority w:val="17"/>
    <w:semiHidden/>
  </w:style>
  <w:style w:type="paragraph" w:styleId="DocumentMap">
    <w:name w:val="Document Map"/>
    <w:basedOn w:val="Normal"/>
    <w:uiPriority w:val="17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uiPriority w:val="29"/>
    <w:semiHidden/>
    <w:rsid w:val="00E45680"/>
    <w:rPr>
      <w:b/>
      <w:i w:val="0"/>
    </w:rPr>
  </w:style>
  <w:style w:type="character" w:styleId="EndnoteReference">
    <w:name w:val="endnote reference"/>
    <w:basedOn w:val="DefaultParagraphFont"/>
    <w:uiPriority w:val="17"/>
    <w:semiHidden/>
    <w:rPr>
      <w:vertAlign w:val="superscript"/>
    </w:rPr>
  </w:style>
  <w:style w:type="paragraph" w:styleId="EndnoteText">
    <w:name w:val="endnote text"/>
    <w:basedOn w:val="Normal"/>
    <w:uiPriority w:val="17"/>
    <w:semiHidden/>
    <w:rPr>
      <w:sz w:val="20"/>
    </w:rPr>
  </w:style>
  <w:style w:type="paragraph" w:styleId="EnvelopeAddress">
    <w:name w:val="envelope address"/>
    <w:basedOn w:val="Normal"/>
    <w:uiPriority w:val="17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uiPriority w:val="17"/>
    <w:semiHidden/>
    <w:rPr>
      <w:sz w:val="20"/>
    </w:rPr>
  </w:style>
  <w:style w:type="character" w:styleId="FollowedHyperlink">
    <w:name w:val="FollowedHyperlink"/>
    <w:basedOn w:val="DefaultParagraphFont"/>
    <w:uiPriority w:val="17"/>
    <w:unhideWhenUsed/>
    <w:rPr>
      <w:color w:val="800080"/>
      <w:u w:val="singl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17"/>
    <w:semiHidden/>
    <w:pPr>
      <w:ind w:left="210" w:hanging="210"/>
    </w:pPr>
  </w:style>
  <w:style w:type="paragraph" w:styleId="Index2">
    <w:name w:val="index 2"/>
    <w:basedOn w:val="Normal"/>
    <w:next w:val="Normal"/>
    <w:autoRedefine/>
    <w:uiPriority w:val="17"/>
    <w:semiHidden/>
    <w:pPr>
      <w:ind w:left="420" w:hanging="210"/>
    </w:pPr>
  </w:style>
  <w:style w:type="paragraph" w:styleId="Index3">
    <w:name w:val="index 3"/>
    <w:basedOn w:val="Normal"/>
    <w:next w:val="Normal"/>
    <w:autoRedefine/>
    <w:uiPriority w:val="17"/>
    <w:semiHidden/>
    <w:pPr>
      <w:ind w:left="630" w:hanging="210"/>
    </w:pPr>
  </w:style>
  <w:style w:type="paragraph" w:styleId="Index4">
    <w:name w:val="index 4"/>
    <w:basedOn w:val="Normal"/>
    <w:next w:val="Normal"/>
    <w:autoRedefine/>
    <w:uiPriority w:val="17"/>
    <w:semiHidden/>
    <w:pPr>
      <w:ind w:left="840" w:hanging="210"/>
    </w:pPr>
  </w:style>
  <w:style w:type="paragraph" w:styleId="Index5">
    <w:name w:val="index 5"/>
    <w:basedOn w:val="Normal"/>
    <w:next w:val="Normal"/>
    <w:autoRedefine/>
    <w:uiPriority w:val="17"/>
    <w:semiHidden/>
    <w:pPr>
      <w:ind w:left="1050" w:hanging="210"/>
    </w:pPr>
  </w:style>
  <w:style w:type="paragraph" w:styleId="Index6">
    <w:name w:val="index 6"/>
    <w:basedOn w:val="Normal"/>
    <w:next w:val="Normal"/>
    <w:autoRedefine/>
    <w:uiPriority w:val="17"/>
    <w:semiHidden/>
    <w:pPr>
      <w:ind w:left="1260" w:hanging="210"/>
    </w:pPr>
  </w:style>
  <w:style w:type="paragraph" w:styleId="Index7">
    <w:name w:val="index 7"/>
    <w:basedOn w:val="Normal"/>
    <w:next w:val="Normal"/>
    <w:autoRedefine/>
    <w:uiPriority w:val="17"/>
    <w:semiHidden/>
    <w:pPr>
      <w:ind w:left="1470" w:hanging="210"/>
    </w:pPr>
  </w:style>
  <w:style w:type="paragraph" w:styleId="Index8">
    <w:name w:val="index 8"/>
    <w:basedOn w:val="Normal"/>
    <w:next w:val="Normal"/>
    <w:autoRedefine/>
    <w:uiPriority w:val="17"/>
    <w:semiHidden/>
    <w:pPr>
      <w:ind w:left="1680" w:hanging="210"/>
    </w:pPr>
  </w:style>
  <w:style w:type="paragraph" w:styleId="Index9">
    <w:name w:val="index 9"/>
    <w:basedOn w:val="Normal"/>
    <w:next w:val="Normal"/>
    <w:autoRedefine/>
    <w:uiPriority w:val="17"/>
    <w:semiHidden/>
    <w:pPr>
      <w:ind w:left="1890" w:hanging="210"/>
    </w:pPr>
  </w:style>
  <w:style w:type="paragraph" w:styleId="IndexHeading">
    <w:name w:val="index heading"/>
    <w:basedOn w:val="Normal"/>
    <w:next w:val="Index1"/>
    <w:uiPriority w:val="17"/>
    <w:semiHidden/>
    <w:rPr>
      <w:b/>
    </w:rPr>
  </w:style>
  <w:style w:type="character" w:styleId="LineNumber">
    <w:name w:val="line number"/>
    <w:basedOn w:val="DefaultParagraphFont"/>
    <w:uiPriority w:val="17"/>
    <w:semiHidden/>
  </w:style>
  <w:style w:type="paragraph" w:styleId="MacroText">
    <w:name w:val="macro"/>
    <w:uiPriority w:val="17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eastAsia="zh-CN"/>
    </w:rPr>
  </w:style>
  <w:style w:type="paragraph" w:styleId="MessageHeader">
    <w:name w:val="Message Header"/>
    <w:basedOn w:val="Normal"/>
    <w:uiPriority w:val="17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uiPriority w:val="29"/>
    <w:pPr>
      <w:ind w:left="720"/>
    </w:pPr>
  </w:style>
  <w:style w:type="paragraph" w:styleId="NoteHeading">
    <w:name w:val="Note Heading"/>
    <w:basedOn w:val="Normal"/>
    <w:next w:val="Normal"/>
    <w:uiPriority w:val="17"/>
    <w:semiHidden/>
  </w:style>
  <w:style w:type="character" w:styleId="PageNumber">
    <w:name w:val="page number"/>
    <w:basedOn w:val="DefaultParagraphFont"/>
    <w:uiPriority w:val="17"/>
    <w:semiHidden/>
  </w:style>
  <w:style w:type="paragraph" w:styleId="PlainText">
    <w:name w:val="Plain Text"/>
    <w:basedOn w:val="Normal"/>
    <w:uiPriority w:val="17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uiPriority w:val="17"/>
    <w:semiHidden/>
  </w:style>
  <w:style w:type="paragraph" w:styleId="Signature">
    <w:name w:val="Signature"/>
    <w:basedOn w:val="Normal"/>
    <w:uiPriority w:val="17"/>
    <w:semiHidden/>
    <w:pPr>
      <w:ind w:left="4252"/>
    </w:pPr>
  </w:style>
  <w:style w:type="paragraph" w:customStyle="1" w:styleId="CentredSubheading">
    <w:name w:val="Centred Subheading"/>
    <w:basedOn w:val="Centred"/>
    <w:next w:val="Body1"/>
    <w:uiPriority w:val="13"/>
    <w:qFormat/>
    <w:rsid w:val="006E1EA1"/>
    <w:rPr>
      <w:b/>
    </w:rPr>
  </w:style>
  <w:style w:type="paragraph" w:styleId="TableofAuthorities">
    <w:name w:val="table of authorities"/>
    <w:basedOn w:val="Normal"/>
    <w:next w:val="Normal"/>
    <w:uiPriority w:val="17"/>
    <w:semiHidden/>
    <w:pPr>
      <w:ind w:left="210" w:hanging="210"/>
    </w:pPr>
  </w:style>
  <w:style w:type="paragraph" w:styleId="TableofFigures">
    <w:name w:val="table of figures"/>
    <w:basedOn w:val="Normal"/>
    <w:next w:val="Normal"/>
    <w:uiPriority w:val="17"/>
    <w:semiHidden/>
    <w:pPr>
      <w:ind w:left="420" w:hanging="420"/>
    </w:pPr>
  </w:style>
  <w:style w:type="paragraph" w:styleId="TOAHeading">
    <w:name w:val="toa heading"/>
    <w:basedOn w:val="Normal"/>
    <w:next w:val="Normal"/>
    <w:uiPriority w:val="49"/>
    <w:semiHidden/>
    <w:pPr>
      <w:spacing w:before="120"/>
    </w:pPr>
    <w:rPr>
      <w:b/>
      <w:sz w:val="24"/>
    </w:rPr>
  </w:style>
  <w:style w:type="paragraph" w:styleId="TOC5">
    <w:name w:val="toc 5"/>
    <w:basedOn w:val="Body1"/>
    <w:next w:val="Body1"/>
    <w:semiHidden/>
    <w:rsid w:val="00DB4683"/>
    <w:pPr>
      <w:spacing w:after="120"/>
      <w:ind w:left="709"/>
      <w:contextualSpacing/>
      <w:jc w:val="left"/>
    </w:pPr>
  </w:style>
  <w:style w:type="paragraph" w:styleId="TOC6">
    <w:name w:val="toc 6"/>
    <w:basedOn w:val="Normal"/>
    <w:next w:val="Normal"/>
    <w:autoRedefine/>
    <w:uiPriority w:val="49"/>
    <w:semiHidden/>
    <w:pPr>
      <w:ind w:left="1050"/>
    </w:pPr>
  </w:style>
  <w:style w:type="paragraph" w:styleId="TOC7">
    <w:name w:val="toc 7"/>
    <w:basedOn w:val="Normal"/>
    <w:next w:val="Normal"/>
    <w:autoRedefine/>
    <w:uiPriority w:val="49"/>
    <w:semiHidden/>
    <w:pPr>
      <w:ind w:left="1260"/>
    </w:pPr>
  </w:style>
  <w:style w:type="paragraph" w:styleId="TOC8">
    <w:name w:val="toc 8"/>
    <w:basedOn w:val="Normal"/>
    <w:next w:val="Normal"/>
    <w:autoRedefine/>
    <w:uiPriority w:val="49"/>
    <w:semiHidden/>
    <w:pPr>
      <w:ind w:left="1470"/>
    </w:pPr>
  </w:style>
  <w:style w:type="paragraph" w:styleId="TOC9">
    <w:name w:val="toc 9"/>
    <w:basedOn w:val="Normal"/>
    <w:next w:val="Normal"/>
    <w:autoRedefine/>
    <w:uiPriority w:val="49"/>
    <w:semiHidden/>
    <w:pPr>
      <w:ind w:left="1680"/>
    </w:pPr>
  </w:style>
  <w:style w:type="paragraph" w:customStyle="1" w:styleId="Centred">
    <w:name w:val="Centred"/>
    <w:basedOn w:val="Body"/>
    <w:next w:val="Body1"/>
    <w:uiPriority w:val="13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pPr>
      <w:numPr>
        <w:numId w:val="3"/>
      </w:numPr>
    </w:pPr>
  </w:style>
  <w:style w:type="paragraph" w:customStyle="1" w:styleId="Recitals">
    <w:name w:val="Recitals"/>
    <w:basedOn w:val="Body"/>
    <w:next w:val="Body2"/>
    <w:uiPriority w:val="9"/>
    <w:qFormat/>
    <w:pPr>
      <w:numPr>
        <w:numId w:val="4"/>
      </w:numPr>
    </w:pPr>
  </w:style>
  <w:style w:type="paragraph" w:styleId="TOCHeading">
    <w:name w:val="TOC Heading"/>
    <w:basedOn w:val="Heading1"/>
    <w:next w:val="Normal"/>
    <w:uiPriority w:val="49"/>
    <w:semiHidden/>
    <w:rsid w:val="00AE6229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character" w:customStyle="1" w:styleId="CommentTextChar">
    <w:name w:val="Comment Text Char"/>
    <w:basedOn w:val="DefaultParagraphFont"/>
    <w:link w:val="CommentText"/>
    <w:uiPriority w:val="17"/>
    <w:semiHidden/>
    <w:rsid w:val="00ED08A9"/>
    <w:rPr>
      <w:sz w:val="20"/>
    </w:rPr>
  </w:style>
  <w:style w:type="paragraph" w:customStyle="1" w:styleId="Address">
    <w:name w:val="Address"/>
    <w:basedOn w:val="Normal"/>
    <w:uiPriority w:val="17"/>
    <w:rsid w:val="00671861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Normal"/>
    <w:uiPriority w:val="9"/>
    <w:rsid w:val="00671861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DefaultParagraphFont"/>
    <w:uiPriority w:val="17"/>
    <w:semiHidden/>
    <w:rsid w:val="00671861"/>
    <w:rPr>
      <w:rFonts w:ascii="Arial" w:hAnsi="Arial"/>
      <w:smallCaps/>
      <w:sz w:val="21"/>
    </w:rPr>
  </w:style>
  <w:style w:type="paragraph" w:styleId="BalloonText">
    <w:name w:val="Balloon Text"/>
    <w:basedOn w:val="Normal"/>
    <w:link w:val="BalloonTextChar"/>
    <w:uiPriority w:val="17"/>
    <w:unhideWhenUsed/>
    <w:rsid w:val="00671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7"/>
    <w:rsid w:val="00ED08A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13"/>
    <w:rsid w:val="00ED08A9"/>
    <w:rPr>
      <w:sz w:val="16"/>
    </w:rPr>
  </w:style>
  <w:style w:type="character" w:customStyle="1" w:styleId="HeaderChar">
    <w:name w:val="Header Char"/>
    <w:basedOn w:val="DefaultParagraphFont"/>
    <w:link w:val="Header"/>
    <w:uiPriority w:val="13"/>
    <w:rsid w:val="00ED08A9"/>
  </w:style>
  <w:style w:type="character" w:styleId="PlaceholderText">
    <w:name w:val="Placeholder Text"/>
    <w:basedOn w:val="DefaultParagraphFont"/>
    <w:uiPriority w:val="99"/>
    <w:semiHidden/>
    <w:rsid w:val="004B05D7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0A7590"/>
    <w:pPr>
      <w:keepNext/>
      <w:jc w:val="center"/>
    </w:pPr>
    <w:rPr>
      <w:b/>
      <w:smallCaps/>
    </w:rPr>
  </w:style>
  <w:style w:type="paragraph" w:styleId="NormalWeb">
    <w:name w:val="Normal (Web)"/>
    <w:basedOn w:val="Normal"/>
    <w:uiPriority w:val="29"/>
    <w:rsid w:val="00F95754"/>
    <w:rPr>
      <w:szCs w:val="24"/>
    </w:rPr>
  </w:style>
  <w:style w:type="paragraph" w:styleId="Subtitle">
    <w:name w:val="Subtitle"/>
    <w:basedOn w:val="Body"/>
    <w:next w:val="Body1"/>
    <w:link w:val="SubtitleChar"/>
    <w:uiPriority w:val="18"/>
    <w:rsid w:val="00615756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8"/>
    <w:rsid w:val="00ED08A9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BookTitle">
    <w:name w:val="Book Title"/>
    <w:basedOn w:val="DefaultParagraphFont"/>
    <w:uiPriority w:val="43"/>
    <w:semiHidden/>
    <w:rsid w:val="00D25E01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39"/>
    <w:semiHidden/>
    <w:rsid w:val="00D25E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39"/>
    <w:semiHidden/>
    <w:rsid w:val="00ED08A9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25E01"/>
    <w:pPr>
      <w:ind w:left="720"/>
      <w:contextualSpacing/>
    </w:pPr>
  </w:style>
  <w:style w:type="paragraph" w:styleId="Title">
    <w:name w:val="Title"/>
    <w:basedOn w:val="Body"/>
    <w:next w:val="Body1"/>
    <w:link w:val="TitleChar"/>
    <w:uiPriority w:val="18"/>
    <w:rsid w:val="00615756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ED08A9"/>
    <w:rPr>
      <w:rFonts w:eastAsiaTheme="majorEastAsia" w:cstheme="majorBidi"/>
      <w:b/>
      <w:smallCaps/>
      <w:spacing w:val="5"/>
      <w:kern w:val="28"/>
      <w:szCs w:val="52"/>
    </w:rPr>
  </w:style>
  <w:style w:type="paragraph" w:styleId="NoSpacing">
    <w:name w:val="No Spacing"/>
    <w:uiPriority w:val="29"/>
    <w:rsid w:val="007F7F66"/>
    <w:pPr>
      <w:spacing w:line="240" w:lineRule="auto"/>
    </w:pPr>
  </w:style>
  <w:style w:type="paragraph" w:customStyle="1" w:styleId="SchTitle">
    <w:name w:val="Sch  Title"/>
    <w:basedOn w:val="SchSubtitle"/>
    <w:next w:val="SchSubtitle"/>
    <w:uiPriority w:val="10"/>
    <w:qFormat/>
    <w:rsid w:val="00BE7F58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BE7F58"/>
    <w:pPr>
      <w:keepNext/>
      <w:numPr>
        <w:ilvl w:val="1"/>
        <w:numId w:val="5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FC3332"/>
    <w:pPr>
      <w:numPr>
        <w:ilvl w:val="2"/>
        <w:numId w:val="5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FC3332"/>
    <w:pPr>
      <w:numPr>
        <w:ilvl w:val="3"/>
        <w:numId w:val="5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FC3332"/>
    <w:pPr>
      <w:numPr>
        <w:ilvl w:val="4"/>
        <w:numId w:val="5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FC3332"/>
    <w:pPr>
      <w:numPr>
        <w:ilvl w:val="5"/>
        <w:numId w:val="5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FC3332"/>
    <w:pPr>
      <w:numPr>
        <w:ilvl w:val="6"/>
        <w:numId w:val="5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FC3332"/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FC3332"/>
    <w:rPr>
      <w:b/>
    </w:rPr>
  </w:style>
  <w:style w:type="paragraph" w:customStyle="1" w:styleId="Heading1Restart">
    <w:name w:val="Heading 1 Restart"/>
    <w:basedOn w:val="Heading1"/>
    <w:next w:val="Body2"/>
    <w:link w:val="Heading1RestartChar"/>
    <w:uiPriority w:val="13"/>
    <w:semiHidden/>
    <w:rsid w:val="000D77B5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ED08A9"/>
    <w:rPr>
      <w:rFonts w:eastAsia="Arial Unicode MS"/>
      <w:b/>
      <w:smallCaps/>
    </w:rPr>
  </w:style>
  <w:style w:type="paragraph" w:customStyle="1" w:styleId="Heading2Restart">
    <w:name w:val="Heading 2 Restart"/>
    <w:basedOn w:val="Heading2"/>
    <w:next w:val="Body2"/>
    <w:link w:val="Heading2RestartChar"/>
    <w:uiPriority w:val="13"/>
    <w:semiHidden/>
    <w:rsid w:val="000D77B5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Heading3"/>
    <w:next w:val="Body3"/>
    <w:link w:val="Heading3RestartChar"/>
    <w:uiPriority w:val="13"/>
    <w:semiHidden/>
    <w:qFormat/>
    <w:rsid w:val="000D77B5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rsid w:val="00ED08A9"/>
    <w:rPr>
      <w:rFonts w:eastAsia="Arial Unicode MS"/>
      <w:b/>
    </w:rPr>
  </w:style>
  <w:style w:type="character" w:customStyle="1" w:styleId="BodyChar">
    <w:name w:val="Body Char"/>
    <w:basedOn w:val="DefaultParagraphFont"/>
    <w:link w:val="Body"/>
    <w:uiPriority w:val="17"/>
    <w:semiHidden/>
    <w:rsid w:val="00ED08A9"/>
  </w:style>
  <w:style w:type="character" w:customStyle="1" w:styleId="Body1Char">
    <w:name w:val="Body 1 Char"/>
    <w:basedOn w:val="BodyChar"/>
    <w:link w:val="Body1"/>
    <w:rsid w:val="000D77B5"/>
  </w:style>
  <w:style w:type="character" w:customStyle="1" w:styleId="Body2Char">
    <w:name w:val="Body 2 Char"/>
    <w:basedOn w:val="Body1Char"/>
    <w:link w:val="Body2"/>
    <w:rsid w:val="000D77B5"/>
  </w:style>
  <w:style w:type="character" w:customStyle="1" w:styleId="Level2Char">
    <w:name w:val="Level 2 Char"/>
    <w:basedOn w:val="Body2Char"/>
    <w:link w:val="Level2"/>
    <w:uiPriority w:val="6"/>
    <w:rsid w:val="00ED08A9"/>
  </w:style>
  <w:style w:type="character" w:customStyle="1" w:styleId="Heading2Char">
    <w:name w:val="Heading 2 Char"/>
    <w:basedOn w:val="Level2Char"/>
    <w:link w:val="Heading2"/>
    <w:uiPriority w:val="4"/>
    <w:rsid w:val="00ED08A9"/>
    <w:rPr>
      <w:b/>
    </w:rPr>
  </w:style>
  <w:style w:type="character" w:customStyle="1" w:styleId="Heading2RestartChar">
    <w:name w:val="Heading 2 Restart Char"/>
    <w:basedOn w:val="Heading2Char"/>
    <w:link w:val="Heading2Restart"/>
    <w:uiPriority w:val="13"/>
    <w:semiHidden/>
    <w:rsid w:val="00ED08A9"/>
    <w:rPr>
      <w:rFonts w:eastAsia="Arial Unicode MS"/>
      <w:b/>
    </w:rPr>
  </w:style>
  <w:style w:type="numbering" w:customStyle="1" w:styleId="SchCustomList">
    <w:name w:val="Sch Custom List"/>
    <w:basedOn w:val="NoList"/>
    <w:uiPriority w:val="99"/>
    <w:rsid w:val="00FC3332"/>
    <w:pPr>
      <w:numPr>
        <w:numId w:val="5"/>
      </w:numPr>
    </w:pPr>
  </w:style>
  <w:style w:type="character" w:customStyle="1" w:styleId="Body3Char">
    <w:name w:val="Body 3 Char"/>
    <w:basedOn w:val="Body2Char"/>
    <w:link w:val="Body3"/>
    <w:rsid w:val="00C10D16"/>
  </w:style>
  <w:style w:type="character" w:customStyle="1" w:styleId="Body4Char">
    <w:name w:val="Body 4 Char"/>
    <w:basedOn w:val="Body3Char"/>
    <w:link w:val="Body4"/>
    <w:rsid w:val="00C10D16"/>
  </w:style>
  <w:style w:type="character" w:customStyle="1" w:styleId="Body5Char">
    <w:name w:val="Body 5 Char"/>
    <w:basedOn w:val="Body4Char"/>
    <w:link w:val="Body5"/>
    <w:rsid w:val="00C10D16"/>
  </w:style>
  <w:style w:type="character" w:customStyle="1" w:styleId="Level1Char">
    <w:name w:val="Level 1 Char"/>
    <w:basedOn w:val="Body1Char"/>
    <w:link w:val="Level1"/>
    <w:uiPriority w:val="6"/>
    <w:rsid w:val="00ED08A9"/>
  </w:style>
  <w:style w:type="character" w:customStyle="1" w:styleId="Heading1Char">
    <w:name w:val="Heading 1 Char"/>
    <w:basedOn w:val="Level1Char"/>
    <w:link w:val="Heading1"/>
    <w:uiPriority w:val="4"/>
    <w:rsid w:val="00ED08A9"/>
    <w:rPr>
      <w:b/>
      <w:smallCaps/>
    </w:rPr>
  </w:style>
  <w:style w:type="character" w:customStyle="1" w:styleId="Level3Char">
    <w:name w:val="Level 3 Char"/>
    <w:basedOn w:val="Body3Char"/>
    <w:link w:val="Level3"/>
    <w:uiPriority w:val="6"/>
    <w:rsid w:val="00ED08A9"/>
  </w:style>
  <w:style w:type="character" w:customStyle="1" w:styleId="Heading3Char">
    <w:name w:val="Heading 3 Char"/>
    <w:basedOn w:val="Level3Char"/>
    <w:link w:val="Heading3"/>
    <w:uiPriority w:val="4"/>
    <w:rsid w:val="00ED08A9"/>
    <w:rPr>
      <w:b/>
    </w:rPr>
  </w:style>
  <w:style w:type="character" w:customStyle="1" w:styleId="Level4Char">
    <w:name w:val="Level 4 Char"/>
    <w:basedOn w:val="Body4Char"/>
    <w:link w:val="Level4"/>
    <w:uiPriority w:val="6"/>
    <w:rsid w:val="00ED08A9"/>
  </w:style>
  <w:style w:type="character" w:customStyle="1" w:styleId="Heading4Char">
    <w:name w:val="Heading 4 Char"/>
    <w:basedOn w:val="Level4Char"/>
    <w:link w:val="Heading4"/>
    <w:uiPriority w:val="5"/>
    <w:semiHidden/>
    <w:rsid w:val="00ED08A9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ED08A9"/>
    <w:rPr>
      <w:sz w:val="22"/>
    </w:rPr>
  </w:style>
  <w:style w:type="character" w:customStyle="1" w:styleId="Level5Char">
    <w:name w:val="Level 5 Char"/>
    <w:basedOn w:val="Body5Char"/>
    <w:link w:val="Level5"/>
    <w:uiPriority w:val="6"/>
    <w:rsid w:val="00ED08A9"/>
  </w:style>
  <w:style w:type="character" w:customStyle="1" w:styleId="SchNumber1Char">
    <w:name w:val="Sch Number 1 Char"/>
    <w:basedOn w:val="Level1Char"/>
    <w:link w:val="SchNumber1"/>
    <w:uiPriority w:val="12"/>
    <w:rsid w:val="00ED08A9"/>
    <w:rPr>
      <w:rFonts w:eastAsia="Arial Unicode MS"/>
    </w:rPr>
  </w:style>
  <w:style w:type="character" w:customStyle="1" w:styleId="SchHeading1Char">
    <w:name w:val="Sch Heading 1 Char"/>
    <w:basedOn w:val="SchNumber1Char"/>
    <w:link w:val="SchHeading1"/>
    <w:uiPriority w:val="12"/>
    <w:rsid w:val="00ED08A9"/>
    <w:rPr>
      <w:rFonts w:eastAsia="Arial Unicode MS"/>
      <w:b/>
      <w:smallCaps/>
    </w:rPr>
  </w:style>
  <w:style w:type="character" w:customStyle="1" w:styleId="SchNumber2Char">
    <w:name w:val="Sch Number 2 Char"/>
    <w:basedOn w:val="Level2Char"/>
    <w:link w:val="SchNumber2"/>
    <w:uiPriority w:val="12"/>
    <w:rsid w:val="00ED08A9"/>
    <w:rPr>
      <w:rFonts w:eastAsia="Arial Unicode MS"/>
    </w:rPr>
  </w:style>
  <w:style w:type="character" w:customStyle="1" w:styleId="SchHeading2Char">
    <w:name w:val="Sch Heading 2 Char"/>
    <w:basedOn w:val="SchNumber2Char"/>
    <w:link w:val="SchHeading2"/>
    <w:uiPriority w:val="12"/>
    <w:rsid w:val="00ED08A9"/>
    <w:rPr>
      <w:rFonts w:eastAsia="Arial Unicode MS"/>
      <w:b/>
    </w:rPr>
  </w:style>
  <w:style w:type="character" w:customStyle="1" w:styleId="SchNumber3Char">
    <w:name w:val="Sch Number 3 Char"/>
    <w:basedOn w:val="Level3Char"/>
    <w:link w:val="SchNumber3"/>
    <w:uiPriority w:val="12"/>
    <w:rsid w:val="00ED08A9"/>
    <w:rPr>
      <w:rFonts w:eastAsia="Arial Unicode MS"/>
    </w:rPr>
  </w:style>
  <w:style w:type="character" w:customStyle="1" w:styleId="SchNumber4Char">
    <w:name w:val="Sch Number 4 Char"/>
    <w:basedOn w:val="Level4Char"/>
    <w:link w:val="SchNumber4"/>
    <w:uiPriority w:val="12"/>
    <w:rsid w:val="00ED08A9"/>
    <w:rPr>
      <w:rFonts w:eastAsia="Arial Unicode MS"/>
    </w:rPr>
  </w:style>
  <w:style w:type="character" w:customStyle="1" w:styleId="SchNumber5Char">
    <w:name w:val="Sch Number 5 Char"/>
    <w:basedOn w:val="Level5Char"/>
    <w:link w:val="SchNumber5"/>
    <w:uiPriority w:val="12"/>
    <w:rsid w:val="00ED08A9"/>
    <w:rPr>
      <w:rFonts w:eastAsia="Arial Unicode MS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04544B"/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04544B"/>
    <w:rPr>
      <w:rFonts w:eastAsia="Arial Unicode MS"/>
      <w:b/>
    </w:rPr>
  </w:style>
  <w:style w:type="paragraph" w:customStyle="1" w:styleId="Parts">
    <w:name w:val="Parts"/>
    <w:basedOn w:val="Body1"/>
    <w:next w:val="Body1"/>
    <w:uiPriority w:val="12"/>
    <w:qFormat/>
    <w:rsid w:val="00563D29"/>
    <w:pPr>
      <w:jc w:val="center"/>
    </w:pPr>
    <w:rPr>
      <w:b/>
    </w:rPr>
  </w:style>
  <w:style w:type="paragraph" w:styleId="List4">
    <w:name w:val="List 4"/>
    <w:basedOn w:val="Normal"/>
    <w:uiPriority w:val="29"/>
    <w:rsid w:val="00F95754"/>
    <w:pPr>
      <w:ind w:left="1132" w:hanging="283"/>
      <w:contextualSpacing/>
    </w:pPr>
  </w:style>
  <w:style w:type="paragraph" w:customStyle="1" w:styleId="Address2">
    <w:name w:val="Address 2"/>
    <w:basedOn w:val="Normal"/>
    <w:uiPriority w:val="17"/>
    <w:rsid w:val="00D67411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D67411"/>
    <w:pPr>
      <w:spacing w:after="120" w:line="240" w:lineRule="auto"/>
    </w:pPr>
    <w:rPr>
      <w:sz w:val="12"/>
    </w:rPr>
  </w:style>
  <w:style w:type="table" w:styleId="TableGrid">
    <w:name w:val="Table Grid"/>
    <w:basedOn w:val="TableNormal"/>
    <w:rsid w:val="00E021A5"/>
    <w:pPr>
      <w:spacing w:line="240" w:lineRule="auto"/>
      <w:jc w:val="left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2JustifiedBefore6ptAfter6pt1">
    <w:name w:val="Style Heading 2 + Justified Before:  6 pt After:  6 pt1"/>
    <w:basedOn w:val="Heading2"/>
    <w:rsid w:val="00E021A5"/>
    <w:pPr>
      <w:keepNext w:val="0"/>
      <w:spacing w:before="120" w:after="120" w:line="240" w:lineRule="auto"/>
    </w:pPr>
    <w:rPr>
      <w:rFonts w:ascii="Arial Bold" w:eastAsia="Times New Roman" w:hAnsi="Arial Bold"/>
      <w:kern w:val="32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2634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017CF"/>
    <w:pPr>
      <w:spacing w:line="240" w:lineRule="auto"/>
      <w:jc w:val="left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insightoptix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insightoptix.com/evidence-optix-f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nsightoptix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ustom\templates\blank%20document.dotm" TargetMode="External"/></Relationships>
</file>

<file path=word/theme/theme1.xml><?xml version="1.0" encoding="utf-8"?>
<a:theme xmlns:a="http://schemas.openxmlformats.org/drawingml/2006/main" name="Theme1">
  <a:themeElements>
    <a:clrScheme name="Hogan Lovells">
      <a:dk1>
        <a:sysClr val="windowText" lastClr="000000"/>
      </a:dk1>
      <a:lt1>
        <a:srgbClr val="FFFFFF"/>
      </a:lt1>
      <a:dk2>
        <a:srgbClr val="1F497D"/>
      </a:dk2>
      <a:lt2>
        <a:srgbClr val="BED600"/>
      </a:lt2>
      <a:accent1>
        <a:srgbClr val="005A8C"/>
      </a:accent1>
      <a:accent2>
        <a:srgbClr val="4B116F"/>
      </a:accent2>
      <a:accent3>
        <a:srgbClr val="567632"/>
      </a:accent3>
      <a:accent4>
        <a:srgbClr val="EF8200"/>
      </a:accent4>
      <a:accent5>
        <a:srgbClr val="00AAD2"/>
      </a:accent5>
      <a:accent6>
        <a:srgbClr val="F32837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1ABFC9B47E44D8AF4B35B33C79E6A" ma:contentTypeVersion="15" ma:contentTypeDescription="Create a new document." ma:contentTypeScope="" ma:versionID="888a006040d0f512ff0bf35c4da51969">
  <xsd:schema xmlns:xsd="http://www.w3.org/2001/XMLSchema" xmlns:xs="http://www.w3.org/2001/XMLSchema" xmlns:p="http://schemas.microsoft.com/office/2006/metadata/properties" xmlns:ns2="ce3714dc-cee9-46ca-824c-86cae4ad4efc" xmlns:ns3="24324e5b-8f2d-4bd3-9602-415189e681ab" targetNamespace="http://schemas.microsoft.com/office/2006/metadata/properties" ma:root="true" ma:fieldsID="451edacee807a53833257d550af520b1" ns2:_="" ns3:_="">
    <xsd:import namespace="ce3714dc-cee9-46ca-824c-86cae4ad4efc"/>
    <xsd:import namespace="24324e5b-8f2d-4bd3-9602-415189e68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714dc-cee9-46ca-824c-86cae4ad4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b524d9-99e7-4897-9bf7-3fcc9d0e47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24e5b-8f2d-4bd3-9602-415189e68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c1dddbe-7a95-4f28-a071-30b54440fc07}" ma:internalName="TaxCatchAll" ma:showField="CatchAllData" ma:web="24324e5b-8f2d-4bd3-9602-415189e68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ustomdocument xmlns="http://hoganlovells.com/word2010/custom">
  <fields>
    <field id="Author" dmfield="AUTHOR_ID" type="string"/>
    <field id="AuthorName" dmfield="" type="string"/>
    <field id="ClientNumber" dmfield="CLIENT_ID" type="string"/>
    <field id="MatterNumber" dmfield="MATTER_ID" type="string"/>
    <field id="DocumentType" dmfield="TYPE_ID" type="string"/>
    <field id="DocumentTitle" dmfield="DOCNAME" type="string"/>
    <field id="DocumentNumber" dmfield="DOCNUM" type="string"/>
    <field id="Library" dmfield="" type="string">Blank Document.dotx</field>
    <field id="Version" dmfield="" type="string"/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</fields>
</customdocument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3714dc-cee9-46ca-824c-86cae4ad4efc">
      <Terms xmlns="http://schemas.microsoft.com/office/infopath/2007/PartnerControls"/>
    </lcf76f155ced4ddcb4097134ff3c332f>
    <TaxCatchAll xmlns="24324e5b-8f2d-4bd3-9602-415189e681ab" xsi:nil="true"/>
  </documentManagement>
</p:properties>
</file>

<file path=customXml/itemProps1.xml><?xml version="1.0" encoding="utf-8"?>
<ds:datastoreItem xmlns:ds="http://schemas.openxmlformats.org/officeDocument/2006/customXml" ds:itemID="{C73FA723-527B-4A7A-B528-DB29DB7A2C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93D552-C420-44A0-BE49-5DE3AA034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714dc-cee9-46ca-824c-86cae4ad4efc"/>
    <ds:schemaRef ds:uri="24324e5b-8f2d-4bd3-9602-415189e68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51CB83-F131-424C-ADE6-4CE41A7705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4155B8-47EB-43EE-A958-0E2701544FBB}">
  <ds:schemaRefs>
    <ds:schemaRef ds:uri="http://hoganlovells.com/word2010/custom"/>
  </ds:schemaRefs>
</ds:datastoreItem>
</file>

<file path=customXml/itemProps5.xml><?xml version="1.0" encoding="utf-8"?>
<ds:datastoreItem xmlns:ds="http://schemas.openxmlformats.org/officeDocument/2006/customXml" ds:itemID="{9C2EF4E5-F07B-4B8E-9F47-EE13DA899ED7}">
  <ds:schemaRefs>
    <ds:schemaRef ds:uri="http://schemas.microsoft.com/office/2006/metadata/properties"/>
    <ds:schemaRef ds:uri="http://schemas.microsoft.com/office/infopath/2007/PartnerControls"/>
    <ds:schemaRef ds:uri="ce3714dc-cee9-46ca-824c-86cae4ad4efc"/>
    <ds:schemaRef ds:uri="24324e5b-8f2d-4bd3-9602-415189e681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C:\Custom\templates\blank document.dotm</Template>
  <TotalTime>0</TotalTime>
  <Pages>2</Pages>
  <Words>430</Words>
  <Characters>2620</Characters>
  <Application>Microsoft Office Word</Application>
  <DocSecurity>0</DocSecurity>
  <Lines>53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Buyers Guide</Company>
  <LinksUpToDate>false</LinksUpToDate>
  <CharactersWithSpaces>3028</CharactersWithSpaces>
  <SharedDoc>false</SharedDoc>
  <HyperlinkBase/>
  <HLinks>
    <vt:vector size="18" baseType="variant">
      <vt:variant>
        <vt:i4>6619170</vt:i4>
      </vt:variant>
      <vt:variant>
        <vt:i4>6</vt:i4>
      </vt:variant>
      <vt:variant>
        <vt:i4>0</vt:i4>
      </vt:variant>
      <vt:variant>
        <vt:i4>5</vt:i4>
      </vt:variant>
      <vt:variant>
        <vt:lpwstr>https://insightoptix.com/evidence-optix-fe</vt:lpwstr>
      </vt:variant>
      <vt:variant>
        <vt:lpwstr/>
      </vt:variant>
      <vt:variant>
        <vt:i4>5570642</vt:i4>
      </vt:variant>
      <vt:variant>
        <vt:i4>3</vt:i4>
      </vt:variant>
      <vt:variant>
        <vt:i4>0</vt:i4>
      </vt:variant>
      <vt:variant>
        <vt:i4>5</vt:i4>
      </vt:variant>
      <vt:variant>
        <vt:lpwstr>http://www.insightoptix.com/</vt:lpwstr>
      </vt:variant>
      <vt:variant>
        <vt:lpwstr/>
      </vt:variant>
      <vt:variant>
        <vt:i4>3080218</vt:i4>
      </vt:variant>
      <vt:variant>
        <vt:i4>0</vt:i4>
      </vt:variant>
      <vt:variant>
        <vt:i4>0</vt:i4>
      </vt:variant>
      <vt:variant>
        <vt:i4>5</vt:i4>
      </vt:variant>
      <vt:variant>
        <vt:lpwstr>mailto:info@insightoptix.com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Haslam</dc:creator>
  <cp:keywords/>
  <dc:description/>
  <cp:lastModifiedBy>Rob Robinson</cp:lastModifiedBy>
  <cp:revision>2</cp:revision>
  <cp:lastPrinted>2011-07-22T17:18:00Z</cp:lastPrinted>
  <dcterms:created xsi:type="dcterms:W3CDTF">2023-02-10T11:24:00Z</dcterms:created>
  <dcterms:modified xsi:type="dcterms:W3CDTF">2023-02-10T11:24:00Z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0x010100F011ABFC9B47E44D8AF4B35B33C79E6A</vt:lpwstr>
  </property>
  <property fmtid="{D5CDD505-2E9C-101B-9397-08002B2CF9AE}" pid="3" name="MediaServiceImageTags">
    <vt:lpwstr/>
  </property>
</Properties>
</file>